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5E9F9" w14:textId="77777777" w:rsidR="00820908" w:rsidRPr="006238C5" w:rsidRDefault="00000000" w:rsidP="006238C5">
      <w:pPr>
        <w:pStyle w:val="Title"/>
        <w:keepNext/>
        <w:bidi/>
        <w:spacing w:after="120"/>
        <w:jc w:val="center"/>
        <w:rPr>
          <w:rFonts w:ascii="Sakkal Majalla" w:hAnsi="Sakkal Majalla" w:cs="Sakkal Majalla"/>
          <w:sz w:val="32"/>
          <w:szCs w:val="32"/>
        </w:rPr>
      </w:pPr>
      <w:r w:rsidRPr="006238C5">
        <w:rPr>
          <w:rFonts w:ascii="Sakkal Majalla" w:hAnsi="Sakkal Majalla" w:cs="Sakkal Majalla"/>
          <w:b/>
          <w:bCs/>
          <w:sz w:val="32"/>
          <w:szCs w:val="32"/>
          <w:rtl/>
        </w:rPr>
        <w:t>تبادل المعلومات الائتمانية ووصول المنشآت الصغيرة والمتوسطة إلى التمويل: مراجعة للأدبيات النظرية والتطبيقية</w:t>
      </w:r>
    </w:p>
    <w:p w14:paraId="47EDDE82" w14:textId="77777777" w:rsidR="00820908" w:rsidRPr="006238C5" w:rsidRDefault="00000000" w:rsidP="006238C5">
      <w:pPr>
        <w:pStyle w:val="Heading1"/>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1. مقدمة</w:t>
      </w:r>
    </w:p>
    <w:p w14:paraId="0B7DEE08"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تواجه المنشآت الصغيرة والمتوسطة (small and medium-sized enterprises) في الدول النامية قيوداً تمويلية أشد مما تواجهه المنشآت الكبيرة، ويُرجع جانب واسع من أدبيات اقتصاد التنمية والتمويل هذه القيود إلى أن المقرض لا يملك ما يكفي من المعلومات للحكم على جدارة المنشأة الائتمانية، فهي في الغالب حديثة العهد، ولا تُعدّ قوائم مالية مدققة، ولا تملك من الضمانات العينية ما يعوّض المقرض عن جهله بها. وفي المنطقة العربية وجد روشا وفرازي وخوري وبيرس (Rocha et al., 2011)، في المسح المشترك بين اتحاد المصارف العربية والبنك الدولي، أن نحو خُمس المنشآت الصغيرة والمتوسطة فقط لديها قرض أو خط ائتمان مصرفي، وهي أدنى نسبة بين مناطق العالم النامي، وأن حصة هذه المنشآت لم تتجاوز في المتوسط 8% من إجمالي الإقراض المصرفي، وأن المصارف عدّت ضعف المعلومات الائتمانية وغياب شفافية المنشآت وضعف حقوق الدائنين أبرز ما يحدّ من إقراضها.</w:t>
      </w:r>
    </w:p>
    <w:p w14:paraId="79216359"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ومن هنا نشأت أدبيات تبادل المعلومات الائتمانية (credit information sharing)، وهي الأدبيات التي تدرس كيف تؤثر الجهات التي تجمع بيانات المقترضين وتتيحها للمقرضين، أي مركزية المخاطر (public credit registry) لدى المصارف المركزية ومكاتب الاستعلام الائتماني (credit bureaus) الخاصة، في حجم الائتمان وكلفته وتوزيعه وأداء القروض. وتعرض هذه المراجعة أصول تلك الأدبيات النظرية، وأدلتها التطبيقية عبر الدول وعلى مستوى المنشأة والعقد، والأدلة السببية المستمدة من التجارب الطبيعية، والأدبيات التي تدرس تصميم هذه الأنظمة، مع عرض للسياق المؤسسي في الدول العربية والخليجية، وتركيب لمواضع التوافق والاختلاف بين الدراسات، وتحديد للبيانات المستعملة وحدودها والفجوات البحثية القائمة.</w:t>
      </w:r>
    </w:p>
    <w:p w14:paraId="10ED4140"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واعتمدت المراجعة على البحث في محركات البحث الأكاديمية ومستودعات أوراق العمل الصادرة عن البنك الدولي وصندوق النقد الدولي والمكتب الوطني للبحوث الاقتصادية (NBER) والمصارف المركزية، وعلى المجلات المحكّمة في التمويل واقتصاد التنمية، واقتصرت على الدراسات التي تتناول المعلومات الائتمانية متغيراً رئيساً، مع إعطاء الأولوية للدراسات ذات التصميم السببي والدراسات التي تتناول المنشآت الصغيرة والمتوسطة أو الدول النامية. وطوبقت البيانات الببليوغرافية لكل مرجع (المؤلفون والسنة والمجلد والعدد والصفحات) مع صفحات الناشرين والمستودعات المؤسسية وقاعدة RePEc. ويقتصر توثيق المعلومات المؤسسية عن مكاتب الاستعلام العربية على ما أمكن التحقق منه من مصادر الجهات نفسها والتقارير الدولية والصحافة الاقتصادية، ولم يُرجع فيها إلى النصوص القانونية الأصلية.</w:t>
      </w:r>
    </w:p>
    <w:p w14:paraId="78ECE7B9" w14:textId="77777777" w:rsidR="00820908" w:rsidRPr="006238C5" w:rsidRDefault="00000000" w:rsidP="006238C5">
      <w:pPr>
        <w:pStyle w:val="Heading1"/>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lastRenderedPageBreak/>
        <w:t>2. المفاهيم وآلية عمل أنظمة المعلومات الائتمانية</w:t>
      </w:r>
    </w:p>
    <w:p w14:paraId="33829C3E"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يقوم تبادل المعلومات الائتمانية على أن المقرضين يودعون لدى جهة مركزية بيانات دورية عن عملائهم، تشمل الحدود الائتمانية الممنوحة والأرصدة القائمة وانتظام السداد وحالات التأخر والتعثر، ثم يحصلون في المقابل على تقرير عن أي متقدّم جديد بطلب تمويل، فيعرفون التزاماته لدى المقرضين الآخرين وسلوكه السابق في السداد، وهي معلومات لا يستطيع المقرض الواحد جمعها بنفسه إلا بكلفة عالية.</w:t>
      </w:r>
    </w:p>
    <w:p w14:paraId="34B0D010"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وتأخذ هذه الجهة في الأدبيات صورتين. الأولى مركزية المخاطر، وهو الاسم الذي تستعمله المصارف المركزية العربية، ويديرها المصرف المركزي لأغراض الرقابة المصرفية، ويُلزم المصارف الخاضعة لإشرافه بتزويدها ببيانات عملائها، ويضع كثير منها حداً أدنى لمبلغ الائتمان الذي يُبلَّغ عنه، وهو حد قد يُخرج قروض المنشآت الصغيرة من التغطية. والثانية مكتب الاستعلام الائتماني، وهو في الغالب جهة خاصة تجمع البيانات من المصارف والمؤسسات المالية غير المصرفية، وأحياناً من الموردين ومزودي الخدمات، وتبيع التقارير والدرجات الائتمانية (credit scores) لأعضائها على أساس المعاملة بالمثل، فلا يحصل على البيانات إلا من يشارك ببياناته، كما يبيّن ليبرتي وستورجس وساذرلاند (Liberti, Sturgess and Sutherland, 2022) في دراستهم لمكتب PayNet الأمريكي المتخصص في الائتمان التجاري.</w:t>
      </w:r>
    </w:p>
    <w:p w14:paraId="7E2AD1F9"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وتميّز الأدبيات كذلك بين المعلومات السلبية، وهي بيانات التأخر والتعثر وحدها، والمعلومات الإيجابية، وهي بيانات القروض القائمة والمسددة بانتظام. ولهذا التمييز أهمية خاصة للمنشآت الصغيرة، لأن النظام الذي يقتصر على المعلومات السلبية يعاقب المنشأة المتعثرة، غير أنه لا يتيح للمنشأة الملتزمة أن تبني سجلاً حسناً تنقله من مقرض إلى آخر.</w:t>
      </w:r>
    </w:p>
    <w:p w14:paraId="4BC62755" w14:textId="77777777" w:rsidR="00820908" w:rsidRPr="006238C5" w:rsidRDefault="00000000" w:rsidP="006238C5">
      <w:pPr>
        <w:pStyle w:val="Heading1"/>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3. الإطار النظري</w:t>
      </w:r>
    </w:p>
    <w:p w14:paraId="0BDFB4AF"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تنطلق الأدبيات النظرية من مشكلة عدم تماثل المعلومات (information asymmetry) بين المقرض والمقترض، وهي المشكلة التي تجعل المقرض عاجزاً عن التمييز بين المقترض الجيد والمقترض الرديء قبل التعاقد، وعاجزاً عن مراقبة سلوك المقترض بعده. وقد أرسى باغانو وجابيلي (Pagano and Jappelli, 1993) النموذج المؤسس لهذه الأدبيات، فبيّنا أن تبادل المعلومات يخفف مشكلة الاختيار المعاكس (adverse selection) لأنه يتيح للمقرض أن يعرف تاريخ المقترض لدى غيره، وأن أثره في الحجم الكلي للإقراض غير محسوم من الناحية النظرية، لأنه قد يُدخل إلى السوق مقترضين آمنين كانوا مستبعدين ويُخرج منه مقترضين خطرين كانوا يحصلون على التمويل، كما بيّنا أن حافز المقرضين إلى تبادل المعلومات يزداد مع حركية المقترضين بين المقرضين وكبر حجم السوق، ويضعف مع اشتداد المنافسة بين المصارف لأن المصرف يخشى أن تستعمل منافساته معلوماته لاجتذاب عملائه.</w:t>
      </w:r>
    </w:p>
    <w:p w14:paraId="20235805"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 xml:space="preserve">وأضاف باديلا وباغانو إلى هذا النموذج قناة الخطر الأخلاقي (moral hazard). ففي بحثهما الأول (Padilla and Pagano, 1997) أظهرا أن المصرف الذي ينفرد بمعرفة عميله يستطيع احتجازه (hold-up) وانتزاع جزء من أرباحه بفوائد مرتفعة، فيضعف حافز </w:t>
      </w:r>
      <w:r w:rsidRPr="006238C5">
        <w:rPr>
          <w:rFonts w:ascii="Sakkal Majalla" w:hAnsi="Sakkal Majalla" w:cs="Sakkal Majalla"/>
          <w:sz w:val="28"/>
          <w:szCs w:val="28"/>
          <w:rtl/>
        </w:rPr>
        <w:lastRenderedPageBreak/>
        <w:t>المقترض إلى بذل الجهد، وأن المصرف حين يتبادل المعلومات يتنازل طوعاً عن جزء من هذا الريع المعلوماتي، فيرتفع حافز المقترض إلى الجهد وينخفض التعثر. وفي بحثهما الثاني (Padilla and Pagano, 2000) بيّنا أن تبادل معلومات التعثر وحدها يعمل أداةَ انضباط للمقترض، لأن تعثره يصير إشارة سلبية يراها جميع المقرضين فيُحرم من الائتمان لديهم جميعاً، وأن إضافة المعلومات الإيجابية قد تُضعف هذا الانضباط في بعض الظروف، لأن المقترض ذا السجل الجيد يصبح أقل خشية من أثر تعثر واحد.</w:t>
      </w:r>
    </w:p>
    <w:p w14:paraId="06F4855F"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وتفرعت عن هذه النواة امتدادات نظرية تخص المنشآت الصغيرة والمتوسطة مباشرة. فقد بيّن بيناردو وباغانو وبيكولو (Bennardo, Pagano and Piccolo, 2015) أن المقترض المتعامل مع أكثر من مصرف قد يراكم ديوناً تتجاوز قدرته على السداد على حساب دائنيه السابقين، لأن كل مصرف لا يرى ما اقترضه من غيره، وأن تبادل المعلومات عن المديونية الكلية يحدّ من هذا الإفراط ويوسّع الائتمان المتاح للمقترضين الملتزمين. وتتناول أدبيات أخرى أثر المعلومات الصلبة المتبادلة في تنظيم المصرف الداخلي، إذ تخفض كلفة فرز المقترضين وتغيّر توزيع صلاحيات القرار بين الإدارة العليا وموظفي الائتمان، وتتناول أدبيات ثالثة مشكلة التنسيق بين الدائنين، إذ قد تدفع المعلومات العلنية عن ضائقة مؤقتة لدى المقترض دائنيه إلى الانسحاب منه في وقت واحد. وتخلص النظرية في مجملها إلى أن تبادل المعلومات يحسّن الانضباط في السداد وجودة الفرز على نحو شبه مؤكد، في حين يبقى أثره في حجم الائتمان الممنوح وتوزيعه بين المقترضين مسألة تطبيقية تتوقف على خصائص السوق وتصميم النظام.</w:t>
      </w:r>
    </w:p>
    <w:p w14:paraId="6DAD40E9" w14:textId="77777777" w:rsidR="00820908" w:rsidRPr="006238C5" w:rsidRDefault="00000000" w:rsidP="006238C5">
      <w:pPr>
        <w:pStyle w:val="Heading1"/>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4. الأدلة التطبيقية</w:t>
      </w:r>
    </w:p>
    <w:p w14:paraId="2AA01BB7" w14:textId="77777777" w:rsidR="00820908" w:rsidRPr="006238C5" w:rsidRDefault="00000000" w:rsidP="006238C5">
      <w:pPr>
        <w:pStyle w:val="Heading2"/>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4.1 الأدلة عبر الدول</w:t>
      </w:r>
    </w:p>
    <w:p w14:paraId="5B53F2B4"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 xml:space="preserve">جاءت أولى الأدلة التطبيقية من المقارنات بين الدول. فقد وجد جابيلي وباغانو (Jappelli and Pagano, 2002)، اعتماداً على مسح أجرياه لأنظمة الاستعلام الائتماني في 43 دولة، أن الإقراض المصرفي للقطاع الخاص أعلى ومعدلات التعثر أدنى في الدول التي يترسخ فيها تبادل المعلومات، سواء أكانت الجهة المشغّلة عامة أم خاصة. ووسّع جانكوف وماكليش وشلايفر (Djankov, McLiesh and Shleifer, 2007) العينة إلى 129 دولة، فوجدوا أن حماية حقوق الدائنين ووجود مؤسسات لتبادل المعلومات يرتبطان كلاهما بارتفاع نسبة الائتمان الخاص إلى الناتج المحلي الإجمالي، وأن المعلومات أهمّ نسبياً في الدول الفقيرة وحقوق الدائنين أهمّ نسبياً في الدول الغنية، وأن إنشاء أنظمة المعلومات الائتمانية يسبق ارتفاع الائتمان الخاص. وفي أفريقيا وجد تريكي وغاجيغو (Triki and Gajigo, 2014)، على بيانات المنشآت في 42 دولة، أن الوصول إلى التمويل أعلى في الدول التي تعمل فيها مكاتب استعلام خاصة منه في الدول التي تقتصر على مركزية المخاطر أو تخلو من أي نظام، وأن تصميم مركزية المخاطر يؤثر في شدة القيود التمويلية، إذ لا يخفف خفضُ الحد الأدنى للقروض المبلَّغ عنها هذه القيود إلا حين تجمع مركزية المخاطر المعلومات الإيجابية والسلبية معاً. وقدّر أسونغو ولو رو وتشاميو (Asongu, Le Roux and Tchamyou, 2019) على عينة من المصارف الأفريقية مستويات التغطية </w:t>
      </w:r>
      <w:r w:rsidRPr="006238C5">
        <w:rPr>
          <w:rFonts w:ascii="Sakkal Majalla" w:hAnsi="Sakkal Majalla" w:cs="Sakkal Majalla"/>
          <w:sz w:val="28"/>
          <w:szCs w:val="28"/>
          <w:rtl/>
        </w:rPr>
        <w:lastRenderedPageBreak/>
        <w:t>التي يبدأ عندها تبادل المعلومات بإلغاء الأثر السلبي للقوة السوقية للمصارف في الوصول إلى التمويل. غير أن هذه الأدلة تبقى ارتباطية في الأساس، لأن إنشاء أنظمة الاستعلام يتزامن في الغالب مع إصلاحات مالية وقانونية أخرى يصعب فصل أثرها.</w:t>
      </w:r>
    </w:p>
    <w:p w14:paraId="3E92B836" w14:textId="77777777" w:rsidR="00820908" w:rsidRPr="006238C5" w:rsidRDefault="00000000" w:rsidP="006238C5">
      <w:pPr>
        <w:pStyle w:val="Heading2"/>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4.2 الأدلة على مستوى المنشأة والعقد</w:t>
      </w:r>
    </w:p>
    <w:p w14:paraId="1DB1BAC6"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انتقلت الأدبيات بعد ذلك إلى بيانات المنشآت. فقد جمع لوف وميلينكو (Love and Mylenko, 2003) بيانات المسح العالمي لبيئة الأعمال (World Business Environment Survey) إلى بيانات أنظمة المعلومات الائتمانية، فوجدا أن وجود مكتب استعلام خاص يرتبط بقيود تمويلية أقل وبحصة أعلى للتمويل المصرفي لدى المنشآت، ولا سيما الصغيرة والمتوسطة منها، وأن مركزية المخاطر لا ترتبط بأثر معنوي في هذه القيود، مع بعض الأدلة على أنها تفيد المنشآت الأحدث أكثر من الأقدم. ودرس براون وجابيلي وباغانو (Brown, Jappelli and Pagano, 2009) المنشآت في دول التحول في أوروبا الشرقية والاتحاد السوفييتي السابق، فوجدوا أن تبادل المعلومات يرتبط بتوفر أعلى للائتمان وكلفة أدنى له، وأن هذا الارتباط أقوى لدى المنشآت المعتمة معلوماتياً وفي الدول ذات البيئة القانونية الضعيفة، وأن تبادل المعلومات والشفافية المحاسبية للمنشأة يقومان مقام بعضهما. وعلى مستوى العقد، استعمل دوبلاس-مادريد ومينيتي (Doblas-Madrid and Minetti, 2013) بيانات عقود من مكتب استعلام تجاري أمريكي، فوجدا أن انضمام المقرضين إلى المكتب يخفض التأخر والتعثر في السداد، وأن الانخفاض أكبر لدى المنشآت المعتمة. وبيّن كالبرغ وأوديل (Kallberg and Udell, 2003) أن سجل سداد المنشأة لمورديها، كما يقيسه مؤشر PAYDEX لدى Dun &amp; Bradstreet، يحمل قدرة تنبؤية معنوية ببقاء المنشأة، وهي نتيجة ذات صلة بالمنشآت الصغيرة لأن ائتمان الموردين يكون في الغالب أول سجل ائتماني لها.</w:t>
      </w:r>
    </w:p>
    <w:p w14:paraId="4656F886" w14:textId="77777777" w:rsidR="00820908" w:rsidRPr="006238C5" w:rsidRDefault="00000000" w:rsidP="006238C5">
      <w:pPr>
        <w:pStyle w:val="Heading2"/>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4.3 الأدلة السببية من التجارب الطبيعية</w:t>
      </w:r>
    </w:p>
    <w:p w14:paraId="1189082C"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اتجهت الأدبيات الأحدث إلى تصاميم تستغل تغيراً خارجياً في توفر المعلومات لتقدير الأثر السببي. وأوسع هذه الدراسات دراسة مارتينيز بيريا وسينغ (Martínez Pería and Singh, 2014)، فقد جمعتا مسوح المنشآت المتكررة لـ63 دولة تغطي أكثر من 75 ألف منشأة بين 2002 و2013، واستعملتا تصميم الفروق في الفروق (difference-in-differences) على توقيت إصلاحات أنظمة الاستعلام، فوجدتا أن إدخال مكتب استعلام خاص أو إصلاحه يرفع احتمال حصول المنشأة على التمويل، ويخفض الفائدة، ويطيل آجال القروض، ويرفع حصة رأس المال العامل الممولة من المصارف، وأن الأثر يكبر كلما اتسعت تغطية المكتب ونطاق معلوماته وضعف إنفاذ العقود، وأنه أكبر لدى المنشآت الأصغر والأحدث، في حين لم تُظهر إصلاحات مركزية المخاطر أثراً متيناً. وطبّق فوسو وأجيي-بوابياه وتشفتشي (Fosu, Agyei-Boapeah and Çiftçi, 2023) التصميم نفسه على منشآت في 28 دولة نامية بين 2004 و2019، فوجدوا أن متوسط كلفة الدين لدى المنشآت ينخفض انخفاضاً معنوياً بعد إدخال مكاتب الاستعلام، بما يتراوح بين 3.2 و3.8 نقطة مئوية، وأن الانخفاض أكبر لدى المنشآت الأقل شفافية وفي الدول ذات الإطار المؤسسي الضعيف، وتضم عينتهم مصر والمغرب ضمن الدول المعالَجة، وإن جاءت التقديرات مجمّعة لا تُفرد كل دولة.</w:t>
      </w:r>
    </w:p>
    <w:p w14:paraId="510B2B24"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lastRenderedPageBreak/>
        <w:t>واستغلت دراسات أخرى تغيرات داخل بلد واحد. فقد استغل هيرتزبرغ وليبرتي وبارافيسيني (Hertzberg, Liberti and Paravisini, 2011) توسيع مركزية المخاطر في الأرجنتين عام 1998 ليشمل المقترضين الذين تقل ديونهم عن 200 ألف دولار، فبيّنوا أن المصرف الذي يعلم أن تقييماته السلبية لمقترض ستصبح علنية يخفض إقراضه له، وهو لم يعلم عنه جديداً، تحسباً لرد فعل المقرضين الآخرين، وأن المعلومات العلنية تفاقم بذلك مشكلة التنسيق بين الدائنين وترفع وقوع المنشآت في الضائقة المالية. واستغل ليبرتي وسيرو وفيغ (Liberti, Seru and Vig, 2015) التوسع نفسه، فوجدوا أنه حسّن توزيع الائتمان بين المقترضين المتأثرين، وأن المصرف فوّض بعده مزيداً من قرارات الإقراض إلى موظفي الائتمان. ووجد جيانيتي وليبرتي وستورجس (Giannetti, Liberti and Sturgess, 2017) أن المصارف خفّضت تصنيفها الداخلي لمقترضيها الجيدين قبيل اضطرارها إلى مشاركة التصنيفات، حمايةً لريعها المعلوماتي من المنافسين، وأن هذا التلاعب حدّ من الأثر الإيجابي للإفصاح في توزيع الائتمان. وفي ألبانيا استغل بير وسونيكالب (Behr and Sonnekalb, 2012) إنشاء المصرف المركزي مركزية المخاطر في يناير 2008، اعتماداً على بيانات مصرف تجاري واحد، فوجدا أنه لم يغيّر الوصول إلى الائتمان ولا كلفته، لكنه حسّن أداء القروض، ورجّحا أن ذلك جاء من انضباط المقترضين حرصاً على وصولهم المستقبلي إلى الائتمان. وفي الولايات المتحدة استغل ساذرلاند (Sutherland, 2018) انضمام المقرضين المتدرج إلى مكتب PayNet، فوجد أن تبادل المعلومات يخفض كلفة انتقال المنشأة من مقرض إلى آخر، ولا سيما المنشآت الحديثة والصغيرة والخالية من التعثر، وأن العلاقات الائتمانية تقصر بعده، وأن المقرضين يصبحون أقل استعداداً لتمويل المنشآت المتأخرة في السداد. ووجد ليبرتي وستورجس وساذرلاند (Liberti, Sturgess and Sutherland, 2022) أن تحسّن الوصول اقتصر على المقترضين ذوي الجودة العالية في الأسواق التي ارتفع فيها الانضمام إلى المكتب.</w:t>
      </w:r>
    </w:p>
    <w:p w14:paraId="3482F5E5" w14:textId="77777777" w:rsidR="00820908" w:rsidRPr="006238C5" w:rsidRDefault="00000000" w:rsidP="006238C5">
      <w:pPr>
        <w:pStyle w:val="Heading2"/>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4.4 أدلة التمويل الأصغر</w:t>
      </w:r>
    </w:p>
    <w:p w14:paraId="1F2028A9"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قدّمت أدبيات التمويل الأصغر (microfinance) أوضح فصل بين قنوات الأثر. فقد درس لوتو وماكنتوش وويدِك (Luoto, McIntosh and Wydick, 2007) إدخال مكتب استعلام لمؤسسات التمويل الأصغر في غواتيمالا، فوجدوا تحسناً في السداد بعد إدخاله. ثم استغل دي جانفري وماكنتوش وسادوليه (de Janvry, McIntosh and Sadoulet, 2010) قيام مؤسسة غواتيمالية بإدخال الاستعلام تدريجياً عبر فروعها دون إعلام المقترضين، ثم إعلامهم لاحقاً بأن سلوكهم في السداد صار مسجلاً، ففصلوا أثر جانب العرض، وهو تحسّن فرز المقرض لمقترضيه، عن أثر جانب الطلب، وهو ارتفاع حافز المقترض إلى السداد حين يعلم أن سجله يراه الآخرون، ووجدوا أن أثر الفرز ظهر أولاً وكان أكبر من أثر الحوافز.</w:t>
      </w:r>
    </w:p>
    <w:p w14:paraId="2FC4A666" w14:textId="77777777" w:rsidR="00820908" w:rsidRPr="006238C5" w:rsidRDefault="00000000" w:rsidP="006238C5">
      <w:pPr>
        <w:pStyle w:val="Heading1"/>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lastRenderedPageBreak/>
        <w:t>5. تصميم أنظمة المعلومات الائتمانية</w:t>
      </w:r>
    </w:p>
    <w:p w14:paraId="26306A14" w14:textId="77777777" w:rsidR="00820908" w:rsidRPr="006238C5" w:rsidRDefault="00000000" w:rsidP="006238C5">
      <w:pPr>
        <w:pStyle w:val="Heading2"/>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5.1 المعلومات السلبية ومدة الاحتفاظ بها</w:t>
      </w:r>
    </w:p>
    <w:p w14:paraId="2A623EA2"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تدرس طائفة من الأدبيات أثر ما تحتفظ به الأنظمة من معلومات سلبية وطول مدة الاحتفاظ بها، مستغلةً تغيرات قانونية تحذف هذه المعلومات أو تقصّر مدتها. فقد استغل بوس وبريزا وليبرمان (Bos, Breza and Liberman, 2018) تغييراً سويدياً في مدة بقاء سجلات التعثر في التقارير الائتمانية، فقدّروا أن سنة إضافية من المعلومات السلبية تخفض التوظيف بنحو ثلاث نقاط مئوية ودخل الأجور بنحو ألف دولار، وأن انخفاض الائتمان يعادل ربع ذلك فحسب، وأنها ترفع اللجوء إلى العمل الحر وتخفض التنقل. واستغل دوبي وغولدسميث-بينكام وماهوني وسونغ (Dobbie et al., 2020) الحذف المتدرج لعلامات الإفلاس من التقارير الائتمانية في الولايات المتحدة، فوجدوا أن الحذف يرفع الدرجة الائتمانية والحدود الائتمانية والاقتراض رفعاً ملموساً، وأن أثره في التوظيف والدخل ضئيل. واستغل ليبرمان ونيلسون وأوبازو وزيمرمان (Liberman et al., 2018) قانوناً تشيلياً ألزم مكاتب الاستعلام عام 2012 بالتوقف عن الإبلاغ عن التعثر لنحو 2.8 مليون شخص، أي نحو 21% من البالغين، فبيّنوا أن الحذف أضعف قدرة المقرضين على التمييز بين المقترضين، فأعاد توزيع الائتمان بين الفئات وخفّض الاقتراض الكلي بنحو 3.5%. وقدّر ليبرمان (Liberman, 2016)، بتصميم الانقطاع في الانحدار حول حدّ فاصل لمبلغ الدين اعتمده مقرض تشيلي في عرض إعادة التفاوض على المتعثرين، أن المقترضين مستعدون لدفع ما يعادل 11% من دخلهم الشهري للحصول على سجل سداد نظيف، وأنهم يستعملون هذه السمعة للاقتراض من مصارف أخرى ثم يتعثرون أكثر. وتعني هذه النتائج للمنشآت الصغيرة أن تسجيل التعثر يفرض كلفة تمتد إلى ما بعد سوق الائتمان، وأن حذفه يعيد توزيع الائتمان أكثر مما يوسّعه.</w:t>
      </w:r>
    </w:p>
    <w:p w14:paraId="16099DA1" w14:textId="77777777" w:rsidR="00820908" w:rsidRPr="006238C5" w:rsidRDefault="00000000" w:rsidP="006238C5">
      <w:pPr>
        <w:pStyle w:val="Heading2"/>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5.2 مركزية المخاطر ومكاتب الاستعلام الخاصة</w:t>
      </w:r>
    </w:p>
    <w:p w14:paraId="09F0D5A0"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تميل الدراسات القائمة على بيانات المنشآت إلى أن المكاتب الخاصة أعظم أثراً في الوصول إلى التمويل من مركزية المخاطر، كما في دراسات لوف وميلينكو (Love and Mylenko, 2003) وتريكي وغاجيغو (Triki and Gajigo, 2014) ومارتينيز بيريا وسينغ (Martínez Pería and Singh, 2014). ويُفسَّر ذلك بأن المكاتب الخاصة تجمع المعلومات الإيجابية والسلبية معاً، ومن مصادر أوسع تشمل المقرضين غير المصرفيين، ولا تضع حداً أدنى مرتفعاً لمبلغ القرض الذي يُبلَّغ عنه، وتقدّم الدرجات الائتمانية جاهزة. غير أن جابيلي وباغانو (Jappelli and Pagano, 2002) وجدا أثراً متقارباً للنوعين، وأحدثت مركزية المخاطر في الأرجنتين وألبانيا آثاراً قابلة للقياس. ويرجّح الباحث أن الفارق يرجع إلى خصائص النظام أكثر مما يرجع إلى ملكيته، أي إلى الحد الأدنى لمبلغ القرض الذي يُبلَّغ عنه ونطاق المصادر ونوع المعلومات وإتاحتها للمقرضين غير المصرفيين.</w:t>
      </w:r>
    </w:p>
    <w:p w14:paraId="77400E13" w14:textId="77777777" w:rsidR="00820908" w:rsidRPr="006238C5" w:rsidRDefault="00000000" w:rsidP="006238C5">
      <w:pPr>
        <w:pStyle w:val="Heading2"/>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lastRenderedPageBreak/>
        <w:t>5.3 البيانات البديلة والتقنيات المالية</w:t>
      </w:r>
    </w:p>
    <w:p w14:paraId="6F68DC85"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تمتد الأدبيات الحديثة إلى مصادر معلومات من خارج أنظمة الاستعلام التقليدية. فقد بيّن بيرغ وبورغ وغومبوفيتش وبوري (Berg et al., 2020)، على أكثر من 250 ألف عملية شراء لدى شركة تجارة إلكترونية ألمانية، أن متغيرات بسيطة من البصمة الرقمية للمستهلك، مثل نوع الجهاز ومزود البريد الإلكتروني، تعادل في قدرتها على التنبؤ بالتعثر درجات مكتب الاستعلام أو تفوقها، وأنها تكمّل معلوماته ولا تحل محلها، وأنها تبقى مفيدة لمن لا يملكون درجة ائتمانية. ونبّه فوستر وغولدسميث-بينكام ورامادوراي وفالتر (Fuster et al., 2022) إلى أن نماذج تعلّم الآلة في التقييم الائتماني قد توزع مكاسبها توزيعاً غير متكافئ بين الفئات السكانية. وتكتسب هذه الأدبيات أهمية خاصة للمنشآت الصغيرة، لأن كثيراً منها يملك سجلات معاملات من فواتير وضرائب ومدفوعات إلكترونية وإن افتقر إلى قوائم مالية مدققة وسجل ائتماني مصرفي.</w:t>
      </w:r>
    </w:p>
    <w:p w14:paraId="24E0D0A1" w14:textId="77777777" w:rsidR="00820908" w:rsidRPr="006238C5" w:rsidRDefault="00000000" w:rsidP="006238C5">
      <w:pPr>
        <w:pStyle w:val="Heading1"/>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6. السياق العربي والخليجي</w:t>
      </w:r>
    </w:p>
    <w:p w14:paraId="5FB08322"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تأخر بناء أنظمة الاستعلام الائتماني في المنطقة العربية مقارنة بمناطق العالم الأخرى، وظلت تغطيتها محدودة حتى منتصف العقد الثاني من القرن الحالي. وقد أوصى روشا وزملاؤه (Rocha et al., 2011) بأن يقدّم صانعو السياسات في المنطقة تحسين البنية المالية التحتية، ومنها توسيع تغطية مكاتب الاستعلام وعمق بياناتها وإصلاح نظام الضمانات ولا سيما الضمانات المنقولة، وأورد مسحهم أن حصة قروض المنشآت الصغيرة والمتوسطة في قطر لم تتجاوز 0.5% من إجمالي الإقراض المصرفي. وراجع السعداني وأرفاي وروشا (Saadani, Arvai and Rocha, 2011) برامج ضمان الائتمان الجزئية في عشر دول عربية، ورأوا أنها تسد جانباً من الفجوة في مرحلة تحسين أنظمة المعلومات الائتمانية وحقوق الدائنين، وأن ضماناتها قليلة العدد كبيرة القيمة، فلم تصل بعدُ إلى المنشآت الأصغر. وأصدرت مؤسسة التمويل الدولية وصندوق النقد العربي (IFC and Arab Monetary Fund, 2015) دليل الاستعلام الائتماني العربي، ووصفا فيه حالة الاستعلام في كل دولة عربية. وخلص فوجيو وندوي وسيدورينكو (Fouejieu, Ndoye and Sydorenko, 2020)، في ورقة عمل لصندوق النقد الدولي على عينة واسعة من الدول، إلى أن دول الشرق الأوسط وشمال أفريقيا وأفغانستان وباكستان ودول القوقاز وآسيا الوسطى تسجل أدنى مستويات الشمول المالي للمنشآت الصغيرة والمتوسطة في العالم، وأن البنية التحتية للمعلومات الائتمانية من محددات وصول هذه المنشآت إلى التمويل، وأن تحسينها يسهم في تضييق الفجوة بين هذه الدول والدول الأفضل أداءً.</w:t>
      </w:r>
    </w:p>
    <w:p w14:paraId="11A3969B"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وتتباين الأنظمة العربية في تاريخ نشأتها وطبيعة ملكيتها، فبعضها عام يديره المصرف المركزي أو جهة حكومية، وبعضها خاص مملوك للمصارف أو لشركات دولية، كما يبيّن الجدول 1.</w:t>
      </w:r>
    </w:p>
    <w:p w14:paraId="4BD57753" w14:textId="77777777" w:rsidR="00820908" w:rsidRPr="006238C5" w:rsidRDefault="00000000" w:rsidP="006238C5">
      <w:pPr>
        <w:keepNext/>
        <w:bidi/>
        <w:spacing w:after="80" w:line="340" w:lineRule="auto"/>
        <w:jc w:val="both"/>
        <w:rPr>
          <w:rFonts w:ascii="Sakkal Majalla" w:hAnsi="Sakkal Majalla" w:cs="Sakkal Majalla"/>
          <w:sz w:val="28"/>
          <w:szCs w:val="28"/>
        </w:rPr>
      </w:pPr>
      <w:r w:rsidRPr="006238C5">
        <w:rPr>
          <w:rFonts w:ascii="Sakkal Majalla" w:hAnsi="Sakkal Majalla" w:cs="Sakkal Majalla"/>
          <w:b/>
          <w:bCs/>
          <w:sz w:val="28"/>
          <w:szCs w:val="28"/>
          <w:rtl/>
        </w:rPr>
        <w:lastRenderedPageBreak/>
        <w:t>الجدول 1: نشأة أنظمة الاستعلام الائتماني في دول عربية مختارة وطبيعتها</w:t>
      </w:r>
    </w:p>
    <w:tbl>
      <w:tblPr>
        <w:bidiVisual/>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900"/>
        <w:gridCol w:w="3100"/>
        <w:gridCol w:w="2300"/>
      </w:tblGrid>
      <w:tr w:rsidR="00820908" w:rsidRPr="006238C5" w14:paraId="263A99AE" w14:textId="77777777" w:rsidTr="006238C5">
        <w:tblPrEx>
          <w:tblCellMar>
            <w:top w:w="0" w:type="dxa"/>
            <w:bottom w:w="0" w:type="dxa"/>
          </w:tblCellMar>
        </w:tblPrEx>
        <w:trPr>
          <w:tblHeader/>
        </w:trPr>
        <w:tc>
          <w:tcPr>
            <w:tcW w:w="1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74F7BC6"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b/>
                <w:bCs/>
                <w:sz w:val="28"/>
                <w:szCs w:val="28"/>
                <w:rtl/>
              </w:rPr>
              <w:t>الدولة</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F4C45DB"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b/>
                <w:bCs/>
                <w:sz w:val="28"/>
                <w:szCs w:val="28"/>
                <w:rtl/>
              </w:rPr>
              <w:t>الجهة</w:t>
            </w:r>
          </w:p>
        </w:tc>
        <w:tc>
          <w:tcPr>
            <w:tcW w:w="31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C209DC0"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b/>
                <w:bCs/>
                <w:sz w:val="28"/>
                <w:szCs w:val="28"/>
                <w:rtl/>
              </w:rPr>
              <w:t>النشأة والتشغيل</w:t>
            </w:r>
          </w:p>
        </w:tc>
        <w:tc>
          <w:tcPr>
            <w:tcW w:w="2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A50BBA0"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b/>
                <w:bCs/>
                <w:sz w:val="28"/>
                <w:szCs w:val="28"/>
                <w:rtl/>
              </w:rPr>
              <w:t>الطبيعة</w:t>
            </w:r>
          </w:p>
        </w:tc>
      </w:tr>
      <w:tr w:rsidR="00820908" w:rsidRPr="006238C5" w14:paraId="4FB7D639" w14:textId="77777777" w:rsidTr="006238C5">
        <w:tblPrEx>
          <w:tblCellMar>
            <w:top w:w="0" w:type="dxa"/>
            <w:bottom w:w="0" w:type="dxa"/>
          </w:tblCellMar>
        </w:tblPrEx>
        <w:tc>
          <w:tcPr>
            <w:tcW w:w="1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12676A9"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قطر</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BA3120E"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مركز قطر للمعلومات الائتمانية</w:t>
            </w:r>
          </w:p>
        </w:tc>
        <w:tc>
          <w:tcPr>
            <w:tcW w:w="31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9F862B4"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قرار الإنشاء 2008، والتشغيل مارس 2011</w:t>
            </w:r>
          </w:p>
        </w:tc>
        <w:tc>
          <w:tcPr>
            <w:tcW w:w="2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8EF4F09"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عام تحت إشراف مصرف قطر المركزي</w:t>
            </w:r>
          </w:p>
        </w:tc>
      </w:tr>
      <w:tr w:rsidR="00820908" w:rsidRPr="006238C5" w14:paraId="45F124C3" w14:textId="77777777" w:rsidTr="006238C5">
        <w:tblPrEx>
          <w:tblCellMar>
            <w:top w:w="0" w:type="dxa"/>
            <w:bottom w:w="0" w:type="dxa"/>
          </w:tblCellMar>
        </w:tblPrEx>
        <w:tc>
          <w:tcPr>
            <w:tcW w:w="1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AA22D42"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السعودية</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AAF340A"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SIMAH</w:t>
            </w:r>
          </w:p>
        </w:tc>
        <w:tc>
          <w:tcPr>
            <w:tcW w:w="31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E6C2F29"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التأسيس 2002، والتشغيل 2004</w:t>
            </w:r>
          </w:p>
        </w:tc>
        <w:tc>
          <w:tcPr>
            <w:tcW w:w="2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75A1555"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خاص مملوك للمصارف تحت إشراف البنك المركزي</w:t>
            </w:r>
          </w:p>
        </w:tc>
      </w:tr>
      <w:tr w:rsidR="00820908" w:rsidRPr="006238C5" w14:paraId="4C978B2B" w14:textId="77777777" w:rsidTr="006238C5">
        <w:tblPrEx>
          <w:tblCellMar>
            <w:top w:w="0" w:type="dxa"/>
            <w:bottom w:w="0" w:type="dxa"/>
          </w:tblCellMar>
        </w:tblPrEx>
        <w:tc>
          <w:tcPr>
            <w:tcW w:w="1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F1C203C"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الإمارات</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50D7E02"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الاتحاد للمعلومات الائتمانية</w:t>
            </w:r>
          </w:p>
        </w:tc>
        <w:tc>
          <w:tcPr>
            <w:tcW w:w="31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1A7CEE4"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القانون الاتحادي رقم 6 لسنة 2010، والتشغيل 2014</w:t>
            </w:r>
          </w:p>
        </w:tc>
        <w:tc>
          <w:tcPr>
            <w:tcW w:w="2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DB8FB8F"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عام مملوك للحكومة الاتحادية</w:t>
            </w:r>
          </w:p>
        </w:tc>
      </w:tr>
      <w:tr w:rsidR="00820908" w:rsidRPr="006238C5" w14:paraId="630AC674" w14:textId="77777777" w:rsidTr="006238C5">
        <w:tblPrEx>
          <w:tblCellMar>
            <w:top w:w="0" w:type="dxa"/>
            <w:bottom w:w="0" w:type="dxa"/>
          </w:tblCellMar>
        </w:tblPrEx>
        <w:tc>
          <w:tcPr>
            <w:tcW w:w="1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CC2D1E0"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الكويت</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8FA75BD"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Ci-Net</w:t>
            </w:r>
          </w:p>
        </w:tc>
        <w:tc>
          <w:tcPr>
            <w:tcW w:w="31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B8394C7"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التأسيس 2001، والتشغيل 2003</w:t>
            </w:r>
          </w:p>
        </w:tc>
        <w:tc>
          <w:tcPr>
            <w:tcW w:w="2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1EF43D9"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مختلط بين البنك المركزي والمصارف</w:t>
            </w:r>
          </w:p>
        </w:tc>
      </w:tr>
      <w:tr w:rsidR="00820908" w:rsidRPr="006238C5" w14:paraId="6C130048" w14:textId="77777777" w:rsidTr="006238C5">
        <w:tblPrEx>
          <w:tblCellMar>
            <w:top w:w="0" w:type="dxa"/>
            <w:bottom w:w="0" w:type="dxa"/>
          </w:tblCellMar>
        </w:tblPrEx>
        <w:tc>
          <w:tcPr>
            <w:tcW w:w="1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F6C3C30"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عُمان</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64DD46D"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ملاءة</w:t>
            </w:r>
          </w:p>
        </w:tc>
        <w:tc>
          <w:tcPr>
            <w:tcW w:w="31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2DB5561"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المرسوم السلطاني رقم 38 لسنة 2019</w:t>
            </w:r>
          </w:p>
        </w:tc>
        <w:tc>
          <w:tcPr>
            <w:tcW w:w="2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36746C6"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عام تحت إشراف البنك المركزي العُماني</w:t>
            </w:r>
          </w:p>
        </w:tc>
      </w:tr>
      <w:tr w:rsidR="00820908" w:rsidRPr="006238C5" w14:paraId="48D443F6" w14:textId="77777777" w:rsidTr="006238C5">
        <w:tblPrEx>
          <w:tblCellMar>
            <w:top w:w="0" w:type="dxa"/>
            <w:bottom w:w="0" w:type="dxa"/>
          </w:tblCellMar>
        </w:tblPrEx>
        <w:tc>
          <w:tcPr>
            <w:tcW w:w="1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FFEA8A4"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البحرين</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798775D"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مكتب البحرين للمراجع الائتمانية (BENEFIT)</w:t>
            </w:r>
          </w:p>
        </w:tc>
        <w:tc>
          <w:tcPr>
            <w:tcW w:w="31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F28182F"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قائم منذ 2004 على الأقل</w:t>
            </w:r>
          </w:p>
        </w:tc>
        <w:tc>
          <w:tcPr>
            <w:tcW w:w="2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0347E0C"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خاص مملوك للمصارف</w:t>
            </w:r>
          </w:p>
        </w:tc>
      </w:tr>
      <w:tr w:rsidR="00820908" w:rsidRPr="006238C5" w14:paraId="68A13B75" w14:textId="77777777" w:rsidTr="006238C5">
        <w:tblPrEx>
          <w:tblCellMar>
            <w:top w:w="0" w:type="dxa"/>
            <w:bottom w:w="0" w:type="dxa"/>
          </w:tblCellMar>
        </w:tblPrEx>
        <w:tc>
          <w:tcPr>
            <w:tcW w:w="1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24017A6"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مصر</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FD808A2"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I-Score</w:t>
            </w:r>
          </w:p>
        </w:tc>
        <w:tc>
          <w:tcPr>
            <w:tcW w:w="31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DCFF3B6"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التأسيس 2005، والترخيص 2008</w:t>
            </w:r>
          </w:p>
        </w:tc>
        <w:tc>
          <w:tcPr>
            <w:tcW w:w="2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DC56430"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خاص مملوك للمصارف وجهاز تنمية المشروعات</w:t>
            </w:r>
          </w:p>
        </w:tc>
      </w:tr>
      <w:tr w:rsidR="00820908" w:rsidRPr="006238C5" w14:paraId="570A6075" w14:textId="77777777" w:rsidTr="006238C5">
        <w:tblPrEx>
          <w:tblCellMar>
            <w:top w:w="0" w:type="dxa"/>
            <w:bottom w:w="0" w:type="dxa"/>
          </w:tblCellMar>
        </w:tblPrEx>
        <w:tc>
          <w:tcPr>
            <w:tcW w:w="1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C72F649"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الأردن</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15F0EE2"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CRIF Jordan</w:t>
            </w:r>
          </w:p>
        </w:tc>
        <w:tc>
          <w:tcPr>
            <w:tcW w:w="31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6CACF11"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قانون 2010، والتشغيل 2016</w:t>
            </w:r>
          </w:p>
        </w:tc>
        <w:tc>
          <w:tcPr>
            <w:tcW w:w="2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D768648"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خاص</w:t>
            </w:r>
          </w:p>
        </w:tc>
      </w:tr>
      <w:tr w:rsidR="00820908" w:rsidRPr="006238C5" w14:paraId="158B9306" w14:textId="77777777" w:rsidTr="006238C5">
        <w:tblPrEx>
          <w:tblCellMar>
            <w:top w:w="0" w:type="dxa"/>
            <w:bottom w:w="0" w:type="dxa"/>
          </w:tblCellMar>
        </w:tblPrEx>
        <w:tc>
          <w:tcPr>
            <w:tcW w:w="1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4233C59"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المغرب</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6CF05FD"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مركزية المخاطر لدى بنك المغرب ومكتب مفوّض</w:t>
            </w:r>
          </w:p>
        </w:tc>
        <w:tc>
          <w:tcPr>
            <w:tcW w:w="31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F2584B8"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2009</w:t>
            </w:r>
          </w:p>
        </w:tc>
        <w:tc>
          <w:tcPr>
            <w:tcW w:w="23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D613718" w14:textId="77777777" w:rsidR="00820908" w:rsidRPr="006238C5" w:rsidRDefault="00000000" w:rsidP="006238C5">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مركزية مخاطر مع مكتب خاص مفوّض</w:t>
            </w:r>
          </w:p>
        </w:tc>
      </w:tr>
    </w:tbl>
    <w:p w14:paraId="26941809" w14:textId="77777777" w:rsidR="00820908" w:rsidRPr="006238C5" w:rsidRDefault="00000000" w:rsidP="006238C5">
      <w:pPr>
        <w:bidi/>
        <w:spacing w:after="200" w:line="340" w:lineRule="auto"/>
        <w:jc w:val="both"/>
        <w:rPr>
          <w:rFonts w:ascii="Sakkal Majalla" w:hAnsi="Sakkal Majalla" w:cs="Sakkal Majalla"/>
          <w:sz w:val="28"/>
          <w:szCs w:val="28"/>
        </w:rPr>
      </w:pPr>
      <w:r w:rsidRPr="006238C5">
        <w:rPr>
          <w:rFonts w:ascii="Sakkal Majalla" w:hAnsi="Sakkal Majalla" w:cs="Sakkal Majalla"/>
          <w:sz w:val="28"/>
          <w:szCs w:val="28"/>
          <w:rtl/>
        </w:rPr>
        <w:t>المصدر: إعداد الباحث من المواقع الرسمية للجهات المذكورة وتقارير صحفية واقتصادية، منها The Peninsula (2017) وOxford Business Group (2012) وتقرير مناخ الاستثمار لوزارة الخارجية الأمريكية عن قطر (2024).</w:t>
      </w:r>
    </w:p>
    <w:p w14:paraId="1A6AD65B"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 xml:space="preserve">وفي قطر تختلف المصادر في تاريخ إنشاء المركز، فتذكر صحيفة The Peninsula (2017) أن مصرف قطر المركزي أنشأه عام 2008 وأنه بدأ العمل في مارس 2011، ويذكر تقرير مناخ الاستثمار الصادر عن وزارة الخارجية الأمريكية (U.S. Department of State, 2024) عام 2010، والأرجح أن 2008 تاريخ القرار و2011 تاريخ التشغيل. وتشير Oxford Business Group (2012) إلى أن المصارف القطرية لم تكن تحصل قبل المركز إلا على رقم إجمالي لمديونية العميل. وأصدر المركز عام 2016 نحو 365,545 تقريراً للأفراد و25,748 تقريراً للشركات بحسب The Peninsula (2017)، وأفاد المصرف المركزي آنذاك بأن نماذج تقييم ائتماني للعملاء التجاريين والمنشآت الصغيرة والمتوسطة قيد الإعداد، وأن الحصول على بيانات تجارية موثوقة أكبر ما يواجهه المركز. ووقّع المركز </w:t>
      </w:r>
      <w:r w:rsidRPr="006238C5">
        <w:rPr>
          <w:rFonts w:ascii="Sakkal Majalla" w:hAnsi="Sakkal Majalla" w:cs="Sakkal Majalla"/>
          <w:sz w:val="28"/>
          <w:szCs w:val="28"/>
          <w:rtl/>
        </w:rPr>
        <w:lastRenderedPageBreak/>
        <w:t>في أكتوبر 2021 مذكرة تفاهم مع مركز قطر للمال لإدراج الشركات المسجلة فيه ضمن قاعدته، بحسب وكالة الأنباء القطرية (Qatar News Agency, 2021).</w:t>
      </w:r>
    </w:p>
    <w:p w14:paraId="0FAE26AC"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أما الدراسات التطبيقية العربية فقليلة، ويغلب عليها الطابع الوصفي أو الارتباطي، ولم تعثر هذه المراجعة على دراسة منشورة ذات تصميم سببي تقدّر أثر إدخال نظام استعلام في دولة عربية بعينها على مستوى المنشأة أو القرض، وتقتصر الأدلة السببية المتاحة على إدراج دول مثل مصر والمغرب ضمن عينات دولية مجمّعة.</w:t>
      </w:r>
    </w:p>
    <w:p w14:paraId="270E3E25" w14:textId="77777777" w:rsidR="00820908" w:rsidRPr="006238C5" w:rsidRDefault="00000000" w:rsidP="006238C5">
      <w:pPr>
        <w:pStyle w:val="Heading1"/>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7. تركيب الأدبيات</w:t>
      </w:r>
    </w:p>
    <w:p w14:paraId="6872EAFB" w14:textId="77777777" w:rsidR="00820908" w:rsidRPr="006238C5" w:rsidRDefault="00000000" w:rsidP="006238C5">
      <w:pPr>
        <w:pStyle w:val="Heading2"/>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7.1 مواضع التوافق</w:t>
      </w:r>
    </w:p>
    <w:p w14:paraId="1BAD7B59"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تتفق الدراسات أولاً على أن تبادل المعلومات الائتمانية يخفض التعثر ويحسّن أداء القروض، وهي أثبت نتائج هذه الأدبيات لأنها تكررت عبر مناهج وبيئات مختلفة، من المقارنة بين الدول (Jappelli and Pagano, 2002)، إلى بيانات العقود (Doblas-Madrid and Minetti, 2013)، وتجربة مركزية المخاطر في ألبانيا (Behr and Sonnekalb, 2012)، والتمويل الأصغر في غواتيمالا (de Janvry, McIntosh and Sadoulet, 2010). وتتفق ثانياً على أن المستفيد الأكبر هو المقترض المعتم معلوماتياً، أي المنشأة الصغيرة والحديثة التي لا تملك قوائم مدققة ولا تاريخاً ائتمانياً طويلاً، وقد ظهرت هذه النتيجة لدى براون وجابيلي وباغانو (Brown, Jappelli and Pagano, 2009) ومارتينيز بيريا وسينغ (Martínez Pería and Singh, 2014) وساذرلاند (Sutherland, 2018) وفوسو وزميليه (Fosu, Agyei-Boapeah and Çiftçi, 2023). وتتفق ثالثاً على أن الأثر أكبر حيث تضعف حماية الدائنين وإنفاذ العقود والإطار المؤسسي، فالمعلومات تقوم جزئياً مقام الضمانات العينية والإنفاذ القضائي في تخفيف مخاطر المقرض. وتتفق رابعاً على أن اتساع التغطية وعمق البيانات يحددان قوة الأثر أكثر مما يحدده مجرد وجود الجهة. وتتفق خامساً على أن للمعلومات السلبية أثراً كبيراً قابلاً للقياس في الحصول على الائتمان، إذ رفع حذفها اقتراض المستفيدين في السويد وتشيلي والولايات المتحدة.</w:t>
      </w:r>
    </w:p>
    <w:p w14:paraId="6961C8D7" w14:textId="77777777" w:rsidR="00820908" w:rsidRPr="006238C5" w:rsidRDefault="00000000" w:rsidP="006238C5">
      <w:pPr>
        <w:pStyle w:val="Heading2"/>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7.2 مواضع الاختلاف وأسبابها</w:t>
      </w:r>
    </w:p>
    <w:p w14:paraId="6762D331"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 xml:space="preserve">يدور الخلاف الأول حول أثر مركزية المخاطر، فدراسات لوف وميلينكو (Love and Mylenko, 2003) وتريكي وغاجيغو (Triki and Gajigo, 2014) ومارتينيز بيريا وسينغ (Martínez Pería and Singh, 2014) لا تجد لها أثراً متيناً في الوصول إلى التمويل، في حين يجد جابيلي وباغانو (Jappelli and Pagano, 2002) أثراً متقارباً لمركزية المخاطر ومكاتب الاستعلام الخاصة، وتُظهر تجربة الأرجنتين أن توسيع مركزية المخاطر غيّر توزيع الائتمان وتنظيم المصارف. ويُفسَّر هذا الاختلاف بثلاثة أسباب: أن كثيراً من أنظمة مركزية المخاطر تضع حداً أدنى مرتفعاً لمبلغ القرض الذي يجب على المصارف الإبلاغ عنه، فتبقى قروض المنشآت الصغيرة خارجها، ويُقاس من ثم أثر نظام لا تظهر فيه هذه المنشآت أصلاً؛ وأن المتغير التابع يختلف بين الدراسات، فمركزية المخاطر في ألبانيا </w:t>
      </w:r>
      <w:r w:rsidRPr="006238C5">
        <w:rPr>
          <w:rFonts w:ascii="Sakkal Majalla" w:hAnsi="Sakkal Majalla" w:cs="Sakkal Majalla"/>
          <w:sz w:val="28"/>
          <w:szCs w:val="28"/>
          <w:rtl/>
        </w:rPr>
        <w:lastRenderedPageBreak/>
        <w:t>حسّنت أداء القروض دون أن يغيّر الوصول؛ وأن المكاتب الخاصة تنشأ في الغالب في بيئات مالية أنضج، فيختلط أثرها بأثر هذه البيئة في الدراسات المقطعية.</w:t>
      </w:r>
    </w:p>
    <w:p w14:paraId="554CFF01"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ويدور الخلاف الثاني حول أثر تبادل المعلومات في الإقراض القائم على العلاقة (relationship lending). فأدلة ساذرلاند (Sutherland, 2018) تشير إلى أن التبادل يخفض الريع المعلوماتي للمقرض، فتقصر العلاقات ويقل استعداد المقرضين لمساندة المنشأة في ضائقة مؤقتة، في حين تُظهر نتائج ليبرتي وسيرو وفيغ (Liberti, Seru and Vig, 2015) أن المصرف فوّض بعد توسيع مركزية المخاطر مزيداً من القرارات إلى موظفي الائتمان، وهو ما يوحي بأن المعلومات الصلبة المتبادلة قد ترفع قيمة المعرفة الشخصية بالمقترض. ويُرجَّح أن يرجع هذا الاختلاف إلى بنية السوق، ففي السوق المركّز يغلب أثر فقدان الريع، وفي السوق التنافسي يغلب مكسب الفرز.</w:t>
      </w:r>
    </w:p>
    <w:p w14:paraId="05DF9B0A"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ويدور الخلاف الثالث حول كلفة المعلومات السلبية خارج سوق الائتمان، فبوس وبريزا وليبرمان (Bos, Breza and Liberman, 2018) يجدون لها كلفة كبيرة في سوق العمل في السويد، ودوبي وزملاؤه (Dobbie et al., 2020) يجدون لحذفها أثراً ضئيلاً في التوظيف في الولايات المتحدة. ويرجع ذلك إلى اختلاف الفئات المدروسة، فالعينة السويدية تضم مقترضين على هامش سوقي الائتمان والعمل، والأمريكية تقتصر على المفلسين، وإلى اختلاف مدى استعمال أصحاب العمل للتقارير الائتمانية في البلدين.</w:t>
      </w:r>
    </w:p>
    <w:p w14:paraId="6E4B81A8"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ويدور الخلاف الرابع حول موضع ظهور الأثر، ففي بعض الدراسات يظهر في الوصول إلى التمويل، وفي أخرى في كلفته (Fosu, Agyei-Boapeah and Çiftçi, 2023)، وفي ثالثة في أداء القروض وحده (Behr and Sonnekalb, 2012). ويعكس هذا اختلاف البيانات، فمسوح المنشآت تقيس الوصول كما تعلنه المنشأة وتتعرض لتحيز الإجابة، وبيانات المصرف الواحد ترى القروض الممنوحة دون الطلبات المرفوضة. ويدور الخلاف الخامس حول من يستفيد، فالمنشآت الأصغر تستفيد أكثر في معظم الدراسات، لكن ليبرتي وستورجس وساذرلاند (Liberti, Sturgess and Sutherland, 2022) وجدوا التحسن مقتصراً على المقترضين ذوي الجودة العالية، لأن المعلومات تكشف المنشأة الجيدة والرديئة معاً، فتستفيد الأولى وتتضرر الثانية، ويتوقف الأثر المتوسط على تركيبة العينة.</w:t>
      </w:r>
    </w:p>
    <w:p w14:paraId="61B9FE9E" w14:textId="77777777" w:rsidR="00820908" w:rsidRPr="006238C5" w:rsidRDefault="00000000" w:rsidP="006238C5">
      <w:pPr>
        <w:pStyle w:val="Heading1"/>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8. البيانات والفجوات البحثية</w:t>
      </w:r>
    </w:p>
    <w:p w14:paraId="3769E584" w14:textId="77777777" w:rsidR="00820908" w:rsidRPr="006238C5" w:rsidRDefault="00000000" w:rsidP="006238C5">
      <w:pPr>
        <w:pStyle w:val="Heading2"/>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8.1 مصادر البيانات وحدودها</w:t>
      </w:r>
    </w:p>
    <w:p w14:paraId="7496C4ED"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 xml:space="preserve">تعتمد المقارنات بين الدول على مؤشرات تقرير ممارسة أنشطة الأعمال (Doing Business) الصادر عن البنك الدولي في محور الحصول على الائتمان، ولا سيما مؤشر عمق المعلومات الائتمانية الممتد من صفر إلى ثمانية، ونسب تغطية مركزية المخاطر ومكاتب الاستعلام الخاصة للبالغين. وقد توقف إصدار التقرير، فصارت هذه المؤشرات سلسلة تاريخية تنتهي نحو عام 2019، وهي تقيس القواعد المكتوبة أكثر مما تقيس الممارسة الفعلية. وتعتمد دراسات المنشأة على مسوح البنك الدولي للمنشآت (World </w:t>
      </w:r>
      <w:r w:rsidRPr="006238C5">
        <w:rPr>
          <w:rFonts w:ascii="Sakkal Majalla" w:hAnsi="Sakkal Majalla" w:cs="Sakkal Majalla"/>
          <w:sz w:val="28"/>
          <w:szCs w:val="28"/>
          <w:rtl/>
        </w:rPr>
        <w:lastRenderedPageBreak/>
        <w:t>Bank Enterprise Surveys) ومسح BEEPS في دول التحول، وتغطي المسوح عدداً من الدول العربية منها مصر والأردن والمغرب وتونس ولبنان، غير أنها مقاطع عرضية متكررة في الغالب لا تتابع المنشأة نفسها، ومتغيراتها التمويلية مما تعلنه المنشأة عن نفسها، وعدد جولاتها لكل دولة محدود، فيضعف اختبار تماثل الاتجاهات قبل المعالجة. وتخدم قاعدة Global Findex دراسات الأفراد والشمول المالي دون المنشآت. أما أقوى الدراسات السببية فتعتمد على بيانات إدارية من مركزية المخاطر ومكاتب الاستعلام الخاصة والمصارف، وهي بيانات لا تُتاح في الغالب إلا بشراكة مع المصارف المركزية أو المؤسسات المالية.</w:t>
      </w:r>
    </w:p>
    <w:p w14:paraId="570DBF58" w14:textId="77777777" w:rsidR="00820908" w:rsidRPr="006238C5" w:rsidRDefault="00000000" w:rsidP="006238C5">
      <w:pPr>
        <w:pStyle w:val="Heading2"/>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8.2 الفجوات البحثية</w:t>
      </w:r>
    </w:p>
    <w:p w14:paraId="45726790"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تتمثل الفجوة الأولى في الجغرافيا، إذ لم تعثر هذه المراجعة على دراسة سببية منشورة عن أثر إدخال نظام استعلام أو إصلاحه في دولة عربية بعينها على مستوى المنشأة أو القرض. وتتمثل الفجوة الثانية في السياق الخليجي، فأنظمة الاستعلام في الخليج حديثة نسبياً ومتنوعة الملكية، من العامة في قطر والإمارات وعُمان إلى المملوكة للمصارف في السعودية والبحرين والمختلطة في الكويت، ولم تُدرس آثارها في إقراض المنشآت الصغيرة والمتوسطة. وتتمثل الفجوة الثالثة في العلاقة بين ضمانات الائتمان العامة والمعلومات الائتمانية، فكلاهما يعالج المشكلة نفسها، وهي جهل المقرض بالمقترض، ولم تُختبر تطبيقياً فرضية أن أثر الضمان أكبر لدى المنشآت ذات السجل الائتماني القصير وأنه يتراجع مع تراكم السجل. وتتمثل الفجوة الرابعة في المعلومات الإيجابية والمصادر غير المصرفية في المنطقة، إذ لم يُدرس أثر إدراج بيانات المرافق والاتصالات والفواتير في أنظمة الاستعلام العربية. وتتمثل الفجوة الخامسة في المنهج، فكثير من دراسات الفروق في الفروق ذات التوقيت المتدرج سبق ظهور المقدّرات الحديثة التي تعالج تحيز هذا التصميم حين تختلف آثار المعالجة بين المجموعات وعبر الزمن، كمقدّري كالاواي وسانت آنا (Callaway and Sant'Anna, 2021) وسن وأبراهام (Sun and Abraham, 2021).</w:t>
      </w:r>
    </w:p>
    <w:p w14:paraId="50FBDBEC" w14:textId="77777777" w:rsidR="00820908" w:rsidRPr="006238C5" w:rsidRDefault="00000000" w:rsidP="006238C5">
      <w:pPr>
        <w:pStyle w:val="Heading2"/>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t>8.3 انعكاسات على تصميم السياسات</w:t>
      </w:r>
    </w:p>
    <w:p w14:paraId="6930DA0D" w14:textId="77777777" w:rsidR="00820908" w:rsidRPr="006238C5" w:rsidRDefault="00000000" w:rsidP="006238C5">
      <w:pPr>
        <w:bidi/>
        <w:spacing w:after="140" w:line="340" w:lineRule="auto"/>
        <w:jc w:val="both"/>
        <w:rPr>
          <w:rFonts w:ascii="Sakkal Majalla" w:hAnsi="Sakkal Majalla" w:cs="Sakkal Majalla"/>
          <w:sz w:val="28"/>
          <w:szCs w:val="28"/>
        </w:rPr>
      </w:pPr>
      <w:r w:rsidRPr="006238C5">
        <w:rPr>
          <w:rFonts w:ascii="Sakkal Majalla" w:hAnsi="Sakkal Majalla" w:cs="Sakkal Majalla"/>
          <w:sz w:val="28"/>
          <w:szCs w:val="28"/>
          <w:rtl/>
        </w:rPr>
        <w:t>تقود الأدبيات المعروضة إلى أربع دلالات لصانع السياسات. الأولى أن قيمة نظام الاستعلام للمنشآت الصغيرة تتوقف على تضمينه المعلومات الإيجابية ووضعه حداً أدنى منخفضاً لمبلغ القرض الذي يُبلَّغ عنه، لأن المنشأة الملتزمة لا تستفيد من نظام يرى تعثرها ولا يرى انتظامها. والثانية أن لتسجيل التعثر كلفة تمتد إلى ما بعد سوق الائتمان، فتحتاج مدد الاحتفاظ بالمعلومات السلبية إلى ضبط يوازن بين انضباط المقترضين وفرصة المتعثر في البدء من جديد. والثالثة أن المصارف قد تتصرف على نحو استراتيجي قبيل إلزامها بالإفصاح، فتحتاج الجهة المشرفة إلى مراقبة التصنيفات حول مواعيد توسيع الأنظمة. والرابعة أن الضمانات العامة تعالج نقص الضمانات العينية، والمعلومات الائتمانية تعالج قصر السجل، والجمع بينهما يتيح لبرامج الضمان أن تخفض نسبة تغطيتها تدريجياً كلما تراكم سجل المنشأة.</w:t>
      </w:r>
    </w:p>
    <w:p w14:paraId="122A2574" w14:textId="77777777" w:rsidR="00820908" w:rsidRPr="006238C5" w:rsidRDefault="00000000" w:rsidP="006238C5">
      <w:pPr>
        <w:pStyle w:val="Heading1"/>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lastRenderedPageBreak/>
        <w:t>9. جدول الدراسات الرئيسة</w:t>
      </w:r>
    </w:p>
    <w:p w14:paraId="75EB88DC" w14:textId="77777777" w:rsidR="00820908" w:rsidRPr="006238C5" w:rsidRDefault="00000000" w:rsidP="006238C5">
      <w:pPr>
        <w:keepNext/>
        <w:bidi/>
        <w:spacing w:after="80" w:line="340" w:lineRule="auto"/>
        <w:jc w:val="both"/>
        <w:rPr>
          <w:rFonts w:ascii="Sakkal Majalla" w:hAnsi="Sakkal Majalla" w:cs="Sakkal Majalla"/>
          <w:sz w:val="28"/>
          <w:szCs w:val="28"/>
        </w:rPr>
      </w:pPr>
      <w:r w:rsidRPr="006238C5">
        <w:rPr>
          <w:rFonts w:ascii="Sakkal Majalla" w:hAnsi="Sakkal Majalla" w:cs="Sakkal Majalla"/>
          <w:b/>
          <w:bCs/>
          <w:sz w:val="28"/>
          <w:szCs w:val="28"/>
          <w:rtl/>
        </w:rPr>
        <w:t>الجدول 2: الدراسات الرئيسة في أدبيات تبادل المعلومات الائتمانية</w:t>
      </w:r>
    </w:p>
    <w:tbl>
      <w:tblPr>
        <w:bidiVisual/>
        <w:tblW w:w="10806"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4"/>
        <w:gridCol w:w="2000"/>
        <w:gridCol w:w="1600"/>
        <w:gridCol w:w="1650"/>
        <w:gridCol w:w="2852"/>
      </w:tblGrid>
      <w:tr w:rsidR="00820908" w:rsidRPr="006238C5" w14:paraId="51B8124F" w14:textId="77777777" w:rsidTr="00D70381">
        <w:tblPrEx>
          <w:tblCellMar>
            <w:top w:w="0" w:type="dxa"/>
            <w:bottom w:w="0" w:type="dxa"/>
          </w:tblCellMar>
        </w:tblPrEx>
        <w:trPr>
          <w:tblHeader/>
        </w:trPr>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7EE6930" w14:textId="77777777" w:rsidR="00820908" w:rsidRPr="006238C5" w:rsidRDefault="00000000" w:rsidP="006327D5">
            <w:pPr>
              <w:bidi/>
              <w:spacing w:line="260" w:lineRule="auto"/>
              <w:jc w:val="center"/>
              <w:rPr>
                <w:rFonts w:ascii="Sakkal Majalla" w:hAnsi="Sakkal Majalla" w:cs="Sakkal Majalla"/>
                <w:sz w:val="28"/>
                <w:szCs w:val="28"/>
              </w:rPr>
            </w:pPr>
            <w:r w:rsidRPr="006238C5">
              <w:rPr>
                <w:rFonts w:ascii="Sakkal Majalla" w:hAnsi="Sakkal Majalla" w:cs="Sakkal Majalla"/>
                <w:b/>
                <w:bCs/>
                <w:sz w:val="28"/>
                <w:szCs w:val="28"/>
                <w:rtl/>
              </w:rPr>
              <w:t>الدراسة</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0464DA6" w14:textId="1B6720E3" w:rsidR="00820908" w:rsidRPr="006238C5" w:rsidRDefault="00CC4EF0" w:rsidP="006327D5">
            <w:pPr>
              <w:bidi/>
              <w:spacing w:line="260" w:lineRule="auto"/>
              <w:jc w:val="center"/>
              <w:rPr>
                <w:rFonts w:ascii="Sakkal Majalla" w:hAnsi="Sakkal Majalla" w:cs="Sakkal Majalla"/>
                <w:sz w:val="28"/>
                <w:szCs w:val="28"/>
              </w:rPr>
            </w:pPr>
            <w:r w:rsidRPr="00CC4EF0">
              <w:rPr>
                <w:rFonts w:ascii="Sakkal Majalla" w:hAnsi="Sakkal Majalla" w:cs="Sakkal Majalla"/>
                <w:b/>
                <w:bCs/>
                <w:sz w:val="28"/>
                <w:szCs w:val="28"/>
                <w:rtl/>
              </w:rPr>
              <w:t>جهة النشر</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41DB2C4" w14:textId="77777777" w:rsidR="00820908" w:rsidRPr="006238C5" w:rsidRDefault="00000000" w:rsidP="006327D5">
            <w:pPr>
              <w:bidi/>
              <w:spacing w:line="260" w:lineRule="auto"/>
              <w:jc w:val="center"/>
              <w:rPr>
                <w:rFonts w:ascii="Sakkal Majalla" w:hAnsi="Sakkal Majalla" w:cs="Sakkal Majalla"/>
                <w:sz w:val="28"/>
                <w:szCs w:val="28"/>
              </w:rPr>
            </w:pPr>
            <w:r w:rsidRPr="006238C5">
              <w:rPr>
                <w:rFonts w:ascii="Sakkal Majalla" w:hAnsi="Sakkal Majalla" w:cs="Sakkal Majalla"/>
                <w:b/>
                <w:bCs/>
                <w:sz w:val="28"/>
                <w:szCs w:val="28"/>
                <w:rtl/>
              </w:rPr>
              <w:t>البلد والعينة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26004C2" w14:textId="77777777" w:rsidR="00820908" w:rsidRPr="006238C5" w:rsidRDefault="00000000" w:rsidP="006327D5">
            <w:pPr>
              <w:bidi/>
              <w:spacing w:line="260" w:lineRule="auto"/>
              <w:jc w:val="center"/>
              <w:rPr>
                <w:rFonts w:ascii="Sakkal Majalla" w:hAnsi="Sakkal Majalla" w:cs="Sakkal Majalla"/>
                <w:sz w:val="28"/>
                <w:szCs w:val="28"/>
              </w:rPr>
            </w:pPr>
            <w:r w:rsidRPr="006238C5">
              <w:rPr>
                <w:rFonts w:ascii="Sakkal Majalla" w:hAnsi="Sakkal Majalla" w:cs="Sakkal Majalla"/>
                <w:b/>
                <w:bCs/>
                <w:sz w:val="28"/>
                <w:szCs w:val="28"/>
                <w:rtl/>
              </w:rPr>
              <w:t>المنهج</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8A37479" w14:textId="77777777" w:rsidR="00820908" w:rsidRPr="006238C5" w:rsidRDefault="00000000" w:rsidP="006327D5">
            <w:pPr>
              <w:bidi/>
              <w:spacing w:line="260" w:lineRule="auto"/>
              <w:jc w:val="center"/>
              <w:rPr>
                <w:rFonts w:ascii="Sakkal Majalla" w:hAnsi="Sakkal Majalla" w:cs="Sakkal Majalla"/>
                <w:sz w:val="28"/>
                <w:szCs w:val="28"/>
              </w:rPr>
            </w:pPr>
            <w:r w:rsidRPr="006238C5">
              <w:rPr>
                <w:rFonts w:ascii="Sakkal Majalla" w:hAnsi="Sakkal Majalla" w:cs="Sakkal Majalla"/>
                <w:b/>
                <w:bCs/>
                <w:sz w:val="28"/>
                <w:szCs w:val="28"/>
                <w:rtl/>
              </w:rPr>
              <w:t>النتيجة الرئيسة</w:t>
            </w:r>
          </w:p>
        </w:tc>
      </w:tr>
      <w:tr w:rsidR="00D1463C" w:rsidRPr="006238C5" w14:paraId="4B08C75D"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DA33E10"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Pagano and Jappelli (1993)</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A90ABBB"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Finance</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B18D616"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نظري</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42D9E9D3" w14:textId="18870755" w:rsidR="00D1463C" w:rsidRPr="006238C5" w:rsidRDefault="00D1463C" w:rsidP="00D1463C">
            <w:pPr>
              <w:bidi/>
              <w:spacing w:line="260" w:lineRule="auto"/>
              <w:jc w:val="center"/>
              <w:rPr>
                <w:rFonts w:ascii="Sakkal Majalla" w:hAnsi="Sakkal Majalla" w:cs="Sakkal Majalla"/>
                <w:sz w:val="28"/>
                <w:szCs w:val="28"/>
              </w:rPr>
            </w:pPr>
            <w:r w:rsidRPr="006F4BB0">
              <w:t>Staggered rollout (natural experiment)</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CEC29B5"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التبادل يخفف الاختيار المعاكس وأثره في الحجم غير محسوم</w:t>
            </w:r>
          </w:p>
        </w:tc>
      </w:tr>
      <w:tr w:rsidR="00D1463C" w:rsidRPr="006238C5" w14:paraId="6E639535"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AD526FC"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Padilla and Pagano (1997)</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E45501D"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Review of Financial Studies</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41F35B6"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نظري</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4C5C6467" w14:textId="6594DED0" w:rsidR="00D1463C" w:rsidRPr="006238C5" w:rsidRDefault="00D1463C" w:rsidP="00D1463C">
            <w:pPr>
              <w:bidi/>
              <w:spacing w:line="260" w:lineRule="auto"/>
              <w:jc w:val="center"/>
              <w:rPr>
                <w:rFonts w:ascii="Sakkal Majalla" w:hAnsi="Sakkal Majalla" w:cs="Sakkal Majalla"/>
                <w:sz w:val="28"/>
                <w:szCs w:val="28"/>
              </w:rPr>
            </w:pPr>
            <w:r w:rsidRPr="006F4BB0">
              <w:t>Difference-in-differences (registry expansion)</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F84A2BB"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التبادل يحدّ من احتجاز المقترض ويرفع حافز الجهد</w:t>
            </w:r>
          </w:p>
        </w:tc>
      </w:tr>
      <w:tr w:rsidR="00D1463C" w:rsidRPr="006238C5" w14:paraId="375EC026"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D5FF1B6"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Padilla and Pagano (2000)</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4C8BCD7"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European Economic Review</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4016956"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نظري</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4532CAEE" w14:textId="53D62415" w:rsidR="00D1463C" w:rsidRPr="006238C5" w:rsidRDefault="00D1463C" w:rsidP="00D1463C">
            <w:pPr>
              <w:bidi/>
              <w:spacing w:line="260" w:lineRule="auto"/>
              <w:jc w:val="center"/>
              <w:rPr>
                <w:rFonts w:ascii="Sakkal Majalla" w:hAnsi="Sakkal Majalla" w:cs="Sakkal Majalla"/>
                <w:sz w:val="28"/>
                <w:szCs w:val="28"/>
              </w:rPr>
            </w:pPr>
            <w:r w:rsidRPr="006F4BB0">
              <w:t>Natural experiment (registry introduction)</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89FD943"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معلومات التعثر وحدها أداة انضباط</w:t>
            </w:r>
          </w:p>
        </w:tc>
      </w:tr>
      <w:tr w:rsidR="00D1463C" w:rsidRPr="006238C5" w14:paraId="1DF84C1B"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8FE3F5B"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Jappelli and Pagano (2002)</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CD15FD2"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Banking and Finance</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755EC5B"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43 دولة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66593C91" w14:textId="18536AB3" w:rsidR="00D1463C" w:rsidRPr="006238C5" w:rsidRDefault="00D1463C" w:rsidP="00D1463C">
            <w:pPr>
              <w:bidi/>
              <w:spacing w:line="260" w:lineRule="auto"/>
              <w:jc w:val="center"/>
              <w:rPr>
                <w:rFonts w:ascii="Sakkal Majalla" w:hAnsi="Sakkal Majalla" w:cs="Sakkal Majalla"/>
                <w:sz w:val="28"/>
                <w:szCs w:val="28"/>
              </w:rPr>
            </w:pPr>
            <w:r w:rsidRPr="006F4BB0">
              <w:t>Contract-level panel</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8757AE5"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إقراض أعلى وتعثر أدنى أياً كانت ملكية الجهة</w:t>
            </w:r>
          </w:p>
        </w:tc>
      </w:tr>
      <w:tr w:rsidR="00D1463C" w:rsidRPr="006238C5" w14:paraId="4E2E030E"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98C6207"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Kallberg and Udell (2003)</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999858D"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Banking and Finance</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1A5585A"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الولايات المتحدة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0F3B3E5A" w14:textId="1B598BF3" w:rsidR="00D1463C" w:rsidRPr="006238C5" w:rsidRDefault="00D1463C" w:rsidP="00D1463C">
            <w:pPr>
              <w:bidi/>
              <w:spacing w:line="260" w:lineRule="auto"/>
              <w:jc w:val="center"/>
              <w:rPr>
                <w:rFonts w:ascii="Sakkal Majalla" w:hAnsi="Sakkal Majalla" w:cs="Sakkal Majalla"/>
                <w:sz w:val="28"/>
                <w:szCs w:val="28"/>
              </w:rPr>
            </w:pPr>
            <w:r w:rsidRPr="006F4BB0">
              <w:t>Cross-sectional probit</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ED3CB60"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سجل السداد للموردين ذو قيمة تنبؤية</w:t>
            </w:r>
          </w:p>
        </w:tc>
      </w:tr>
      <w:tr w:rsidR="00D1463C" w:rsidRPr="006238C5" w14:paraId="2B401F3D"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638208D"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Love and Mylenko (2003)</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245B3B7"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ورقة عمل البنك الدولي 3142</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70C3BF1"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مسح بيئة الأعمال</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7B643276" w14:textId="1510722E" w:rsidR="00D1463C" w:rsidRPr="006238C5" w:rsidRDefault="00D1463C" w:rsidP="00D1463C">
            <w:pPr>
              <w:bidi/>
              <w:spacing w:line="260" w:lineRule="auto"/>
              <w:jc w:val="center"/>
              <w:rPr>
                <w:rFonts w:ascii="Sakkal Majalla" w:hAnsi="Sakkal Majalla" w:cs="Sakkal Majalla"/>
                <w:sz w:val="28"/>
                <w:szCs w:val="28"/>
              </w:rPr>
            </w:pPr>
            <w:r w:rsidRPr="006F4BB0">
              <w:t>Difference-in-differences</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DF0D59F"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المكاتب الخاصة ترتبط بقيود تمويلية أقل</w:t>
            </w:r>
          </w:p>
        </w:tc>
      </w:tr>
      <w:tr w:rsidR="00D1463C" w:rsidRPr="006238C5" w14:paraId="7AF23792"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5FB1EE8"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Djankov, McLiesh and Shleifer (2007)</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DDD8984"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Financial Economics</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6F1619F"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129 دولة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053AF458" w14:textId="14AACA90" w:rsidR="00D1463C" w:rsidRPr="006238C5" w:rsidRDefault="00D1463C" w:rsidP="00D1463C">
            <w:pPr>
              <w:bidi/>
              <w:spacing w:line="260" w:lineRule="auto"/>
              <w:jc w:val="center"/>
              <w:rPr>
                <w:rFonts w:ascii="Sakkal Majalla" w:hAnsi="Sakkal Majalla" w:cs="Sakkal Majalla"/>
                <w:sz w:val="28"/>
                <w:szCs w:val="28"/>
              </w:rPr>
            </w:pPr>
            <w:r w:rsidRPr="006F4BB0">
              <w:t>Theoretical model (multiple lending)</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1BC96CE"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المعلومات وحقوق الدائنين ترتبطان بالائتمان</w:t>
            </w:r>
          </w:p>
        </w:tc>
      </w:tr>
      <w:tr w:rsidR="00D1463C" w:rsidRPr="006238C5" w14:paraId="10029FBC"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94ADAF8"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Luoto, McIntosh and Wydick (2007)</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7BF2A8C"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Economic Development and Cultural Change</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BCFF727"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غواتيمالا</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04497926" w14:textId="154F3174" w:rsidR="00D1463C" w:rsidRPr="006238C5" w:rsidRDefault="00D1463C" w:rsidP="00D1463C">
            <w:pPr>
              <w:bidi/>
              <w:spacing w:line="260" w:lineRule="auto"/>
              <w:jc w:val="center"/>
              <w:rPr>
                <w:rFonts w:ascii="Sakkal Majalla" w:hAnsi="Sakkal Majalla" w:cs="Sakkal Majalla"/>
                <w:sz w:val="28"/>
                <w:szCs w:val="28"/>
              </w:rPr>
            </w:pPr>
            <w:r w:rsidRPr="006F4BB0">
              <w:t>Difference-in-differences</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1B96273"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تحسّن السداد بعد إدخال المكتب</w:t>
            </w:r>
          </w:p>
        </w:tc>
      </w:tr>
      <w:tr w:rsidR="00D1463C" w:rsidRPr="006238C5" w14:paraId="22AD6DEF"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FB6AD7D"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Brown, Jappelli and Pagano (2009)</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E2A651C"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Financial Intermediation</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B75AEB4"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دول التحول</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5CBBE676" w14:textId="2E930D2C" w:rsidR="00D1463C" w:rsidRPr="006238C5" w:rsidRDefault="00D1463C" w:rsidP="00D1463C">
            <w:pPr>
              <w:bidi/>
              <w:spacing w:line="260" w:lineRule="auto"/>
              <w:jc w:val="center"/>
              <w:rPr>
                <w:rFonts w:ascii="Sakkal Majalla" w:hAnsi="Sakkal Majalla" w:cs="Sakkal Majalla"/>
                <w:sz w:val="28"/>
                <w:szCs w:val="28"/>
              </w:rPr>
            </w:pPr>
            <w:r w:rsidRPr="006F4BB0">
              <w:t>Fuzzy regression discontinuity</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F852A1D"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أثر أكبر للمنشآت المعتمة وفي البيئات الضعيفة</w:t>
            </w:r>
          </w:p>
        </w:tc>
      </w:tr>
      <w:tr w:rsidR="00D1463C" w:rsidRPr="006238C5" w14:paraId="1D85288B"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25F23AB"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lastRenderedPageBreak/>
              <w:t>de Janvry, McIntosh and Sadoulet (2010)</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E839A7"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Development Economics</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5F8901C"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غواتيمالا</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3BBD7736" w14:textId="29ABEB58" w:rsidR="00D1463C" w:rsidRPr="006238C5" w:rsidRDefault="00D1463C" w:rsidP="00D1463C">
            <w:pPr>
              <w:bidi/>
              <w:spacing w:line="260" w:lineRule="auto"/>
              <w:jc w:val="center"/>
              <w:rPr>
                <w:rFonts w:ascii="Sakkal Majalla" w:hAnsi="Sakkal Majalla" w:cs="Sakkal Majalla"/>
                <w:sz w:val="28"/>
                <w:szCs w:val="28"/>
              </w:rPr>
            </w:pPr>
            <w:r w:rsidRPr="006F4BB0">
              <w:t>Disclosure-timing design</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E9321D0"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أثر الفرز يسبق أثر الحوافز ويفوقه</w:t>
            </w:r>
          </w:p>
        </w:tc>
      </w:tr>
      <w:tr w:rsidR="00D1463C" w:rsidRPr="006238C5" w14:paraId="2B8902ED"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8711944"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Hertzberg, Liberti and Paravisini (2011)</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5E30518"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Finance</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14736D2"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الأرجنتين</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140EEC9C" w14:textId="45C5D4AC" w:rsidR="00D1463C" w:rsidRPr="006238C5" w:rsidRDefault="00D1463C" w:rsidP="00D1463C">
            <w:pPr>
              <w:bidi/>
              <w:spacing w:line="260" w:lineRule="auto"/>
              <w:jc w:val="center"/>
              <w:rPr>
                <w:rFonts w:ascii="Sakkal Majalla" w:hAnsi="Sakkal Majalla" w:cs="Sakkal Majalla"/>
                <w:sz w:val="28"/>
                <w:szCs w:val="28"/>
              </w:rPr>
            </w:pPr>
            <w:r w:rsidRPr="006F4BB0">
              <w:t>Staggered difference-in-differences</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B97D9BE"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المعلومات العلنية تفاقم مشكلة التنسيق</w:t>
            </w:r>
          </w:p>
        </w:tc>
      </w:tr>
      <w:tr w:rsidR="00D1463C" w:rsidRPr="006238C5" w14:paraId="15BCDA93"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241FAB7"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Behr and Sonnekalb (2012)</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83C164B"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Banking and Finance</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43036F4"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ألبانيا</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38B90449" w14:textId="33DBAB4B" w:rsidR="00D1463C" w:rsidRPr="006238C5" w:rsidRDefault="00D1463C" w:rsidP="00D1463C">
            <w:pPr>
              <w:bidi/>
              <w:spacing w:line="260" w:lineRule="auto"/>
              <w:jc w:val="center"/>
              <w:rPr>
                <w:rFonts w:ascii="Sakkal Majalla" w:hAnsi="Sakkal Majalla" w:cs="Sakkal Majalla"/>
                <w:sz w:val="28"/>
                <w:szCs w:val="28"/>
              </w:rPr>
            </w:pPr>
            <w:r w:rsidRPr="006F4BB0">
              <w:t>Difference-in-differences (retention policy change)</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CE62F99"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تحسّن الأداء دون تغيّر الوصول</w:t>
            </w:r>
          </w:p>
        </w:tc>
      </w:tr>
      <w:tr w:rsidR="00D1463C" w:rsidRPr="006238C5" w14:paraId="3D047CF9"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919F2A7"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Doblas-Madrid and Minetti (2013)</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37E9B74"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Financial Economics</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B1E801D"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الولايات المتحدة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0C25C39C" w14:textId="7EEA478F" w:rsidR="00D1463C" w:rsidRPr="006238C5" w:rsidRDefault="00D1463C" w:rsidP="00D1463C">
            <w:pPr>
              <w:bidi/>
              <w:spacing w:line="260" w:lineRule="auto"/>
              <w:jc w:val="center"/>
              <w:rPr>
                <w:rFonts w:ascii="Sakkal Majalla" w:hAnsi="Sakkal Majalla" w:cs="Sakkal Majalla"/>
                <w:sz w:val="28"/>
                <w:szCs w:val="28"/>
              </w:rPr>
            </w:pPr>
            <w:r w:rsidRPr="006F4BB0">
              <w:t>Natural experiment (mandated deletion)</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FCE00E1"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انخفاض التعثر ولا سيما لدى المعتمة</w:t>
            </w:r>
          </w:p>
        </w:tc>
      </w:tr>
      <w:tr w:rsidR="00D1463C" w:rsidRPr="006238C5" w14:paraId="38C5755F"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03B3000"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Triki and Gajigo (2014)</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9AD5E25"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African Development</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B018BE0"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42 دولة أفريقية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056019CC" w14:textId="2787A774" w:rsidR="00D1463C" w:rsidRPr="006238C5" w:rsidRDefault="00D1463C" w:rsidP="00D1463C">
            <w:pPr>
              <w:bidi/>
              <w:spacing w:line="260" w:lineRule="auto"/>
              <w:jc w:val="center"/>
              <w:rPr>
                <w:rFonts w:ascii="Sakkal Majalla" w:hAnsi="Sakkal Majalla" w:cs="Sakkal Majalla"/>
                <w:sz w:val="28"/>
                <w:szCs w:val="28"/>
              </w:rPr>
            </w:pPr>
            <w:r w:rsidRPr="006F4BB0">
              <w:t>Threshold analysis (interaction terms)</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2CA5FAE"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وصول أعلى مع المكاتب الخاصة</w:t>
            </w:r>
          </w:p>
        </w:tc>
      </w:tr>
      <w:tr w:rsidR="00D1463C" w:rsidRPr="006238C5" w14:paraId="57A7D47B"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A348B37"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Martínez Pería and Singh (2014)</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CCD7E52"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ورقة عمل البنك الدولي 7013</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273D241"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63 دولة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0055BF84" w14:textId="367E6DBE" w:rsidR="00D1463C" w:rsidRPr="006238C5" w:rsidRDefault="00D1463C" w:rsidP="00D1463C">
            <w:pPr>
              <w:bidi/>
              <w:spacing w:line="260" w:lineRule="auto"/>
              <w:jc w:val="center"/>
              <w:rPr>
                <w:rFonts w:ascii="Sakkal Majalla" w:hAnsi="Sakkal Majalla" w:cs="Sakkal Majalla"/>
                <w:sz w:val="28"/>
                <w:szCs w:val="28"/>
              </w:rPr>
            </w:pPr>
            <w:r w:rsidRPr="006F4BB0">
              <w:t>Difference-in-differences</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4A0CB65"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المكاتب الخاصة ترفع الوصول ومركزية المخاطر بلا أثر متين</w:t>
            </w:r>
          </w:p>
        </w:tc>
      </w:tr>
      <w:tr w:rsidR="00D1463C" w:rsidRPr="006238C5" w14:paraId="37EAFA00"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C8F6566"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Bennardo, Pagano and Piccolo (2015)</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431D76B"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Review of Finance</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721E3CA"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نظري</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3A2C6D89" w14:textId="0BC369DC" w:rsidR="00D1463C" w:rsidRPr="006238C5" w:rsidRDefault="00D1463C" w:rsidP="00D1463C">
            <w:pPr>
              <w:bidi/>
              <w:spacing w:line="260" w:lineRule="auto"/>
              <w:jc w:val="center"/>
              <w:rPr>
                <w:rFonts w:ascii="Sakkal Majalla" w:hAnsi="Sakkal Majalla" w:cs="Sakkal Majalla"/>
                <w:sz w:val="28"/>
                <w:szCs w:val="28"/>
              </w:rPr>
            </w:pPr>
            <w:r w:rsidRPr="006F4BB0">
              <w:t>Default prediction (AUC comparison)</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573009A"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التبادل يحدّ من الإفراط في الاقتراض</w:t>
            </w:r>
          </w:p>
        </w:tc>
      </w:tr>
      <w:tr w:rsidR="00D1463C" w:rsidRPr="006238C5" w14:paraId="16A0A9DF"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C85949C"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Liberti, Seru and Vig (2015)</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BA310DE"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ورقة عمل IMFS 97</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9CAF993"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الأرجنتين</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7AD56FF0" w14:textId="1BF054BE" w:rsidR="00D1463C" w:rsidRPr="006238C5" w:rsidRDefault="00D1463C" w:rsidP="00D1463C">
            <w:pPr>
              <w:bidi/>
              <w:spacing w:line="260" w:lineRule="auto"/>
              <w:jc w:val="center"/>
              <w:rPr>
                <w:rFonts w:ascii="Sakkal Majalla" w:hAnsi="Sakkal Majalla" w:cs="Sakkal Majalla"/>
                <w:sz w:val="28"/>
                <w:szCs w:val="28"/>
              </w:rPr>
            </w:pPr>
            <w:r w:rsidRPr="006F4BB0">
              <w:t>Cross-country determinants regressions</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9344DFC"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تحسّن التوزيع وتفويض أوسع</w:t>
            </w:r>
          </w:p>
        </w:tc>
      </w:tr>
      <w:tr w:rsidR="00D1463C" w:rsidRPr="006238C5" w14:paraId="62345012"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CA18403"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Liberman (2016)</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B52432D"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Financial Economics</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DE7F841"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تشيلي</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372BA676" w14:textId="23804011" w:rsidR="00D1463C" w:rsidRPr="006238C5" w:rsidRDefault="00D1463C" w:rsidP="00D1463C">
            <w:pPr>
              <w:bidi/>
              <w:spacing w:line="260" w:lineRule="auto"/>
              <w:jc w:val="center"/>
              <w:rPr>
                <w:rFonts w:ascii="Sakkal Majalla" w:hAnsi="Sakkal Majalla" w:cs="Sakkal Majalla"/>
                <w:sz w:val="28"/>
                <w:szCs w:val="28"/>
              </w:rPr>
            </w:pPr>
            <w:r w:rsidRPr="006F4BB0">
              <w:t>Staggered difference-in-differences</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09DD655"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للسمعة الائتمانية قيمة قابلة للقياس</w:t>
            </w:r>
          </w:p>
        </w:tc>
      </w:tr>
      <w:tr w:rsidR="00D1463C" w:rsidRPr="006238C5" w14:paraId="1C5644A4"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BF0B08A"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lastRenderedPageBreak/>
              <w:t>Giannetti, Liberti and Sturgess (2017)</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BB1441F"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Review of Financial Studies</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A8F369F"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الأرجنتين</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732F5809" w14:textId="0229F946" w:rsidR="00D1463C" w:rsidRPr="006238C5" w:rsidRDefault="00D1463C" w:rsidP="00D1463C">
            <w:pPr>
              <w:bidi/>
              <w:spacing w:line="260" w:lineRule="auto"/>
              <w:jc w:val="center"/>
              <w:rPr>
                <w:rFonts w:ascii="Sakkal Majalla" w:hAnsi="Sakkal Majalla" w:cs="Sakkal Majalla"/>
                <w:sz w:val="28"/>
                <w:szCs w:val="28"/>
              </w:rPr>
            </w:pPr>
            <w:r w:rsidRPr="006F4BB0">
              <w:t>Difference-in-differences</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A514F25"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تلاعب بالتصنيفات قبل المشاركة</w:t>
            </w:r>
          </w:p>
        </w:tc>
      </w:tr>
      <w:tr w:rsidR="00D1463C" w:rsidRPr="006238C5" w14:paraId="49C0859F"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4940758"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Sutherland (2018)</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DEA848D"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Accounting and Economics</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8EBD6F0"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الولايات المتحدة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2AA17421" w14:textId="5C12351B" w:rsidR="00D1463C" w:rsidRPr="006238C5" w:rsidRDefault="00D1463C" w:rsidP="00D1463C">
            <w:pPr>
              <w:bidi/>
              <w:spacing w:line="260" w:lineRule="auto"/>
              <w:jc w:val="center"/>
              <w:rPr>
                <w:rFonts w:ascii="Sakkal Majalla" w:hAnsi="Sakkal Majalla" w:cs="Sakkal Majalla"/>
                <w:sz w:val="28"/>
                <w:szCs w:val="28"/>
              </w:rPr>
            </w:pPr>
            <w:r w:rsidRPr="006F4BB0">
              <w:t>Staggered rollout (natural experiment)</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EF0DFA5"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انخفاض كلفة الانتقال وقصر العلاقات</w:t>
            </w:r>
          </w:p>
        </w:tc>
      </w:tr>
      <w:tr w:rsidR="00D1463C" w:rsidRPr="006238C5" w14:paraId="76821E25"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9D305F1"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Bos, Breza and Liberman (2018)</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F97DEF2"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Review of Financial Studies</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050AF12"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السويد</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6259387A" w14:textId="3D176D69" w:rsidR="00D1463C" w:rsidRPr="006238C5" w:rsidRDefault="00D1463C" w:rsidP="00D1463C">
            <w:pPr>
              <w:bidi/>
              <w:spacing w:line="260" w:lineRule="auto"/>
              <w:jc w:val="center"/>
              <w:rPr>
                <w:rFonts w:ascii="Sakkal Majalla" w:hAnsi="Sakkal Majalla" w:cs="Sakkal Majalla"/>
                <w:sz w:val="28"/>
                <w:szCs w:val="28"/>
              </w:rPr>
            </w:pPr>
            <w:r w:rsidRPr="006F4BB0">
              <w:t>Difference-in-differences (registry expansion)</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3D892BD"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كلفة كبيرة في سوق العمل</w:t>
            </w:r>
          </w:p>
        </w:tc>
      </w:tr>
      <w:tr w:rsidR="00D1463C" w:rsidRPr="006238C5" w14:paraId="23E7901F"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8CB6833"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Liberman et al. (2018)</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E6968FC"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ورقة NBER 25097</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CED5A26"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تشيلي</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58A82C09" w14:textId="487C2C20" w:rsidR="00D1463C" w:rsidRPr="006238C5" w:rsidRDefault="00D1463C" w:rsidP="00D1463C">
            <w:pPr>
              <w:bidi/>
              <w:spacing w:line="260" w:lineRule="auto"/>
              <w:jc w:val="center"/>
              <w:rPr>
                <w:rFonts w:ascii="Sakkal Majalla" w:hAnsi="Sakkal Majalla" w:cs="Sakkal Majalla"/>
                <w:sz w:val="28"/>
                <w:szCs w:val="28"/>
              </w:rPr>
            </w:pPr>
            <w:r w:rsidRPr="006F4BB0">
              <w:t>Natural experiment (registry introduction)</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AE3301"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إعادة توزيع الائتمان وخفض الاقتراض الكلي</w:t>
            </w:r>
          </w:p>
        </w:tc>
      </w:tr>
      <w:tr w:rsidR="00D1463C" w:rsidRPr="006238C5" w14:paraId="2FF2CEB5"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590B82D"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Asongu, Le Roux and Tchamyou (2019)</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BF651B2"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Banking Regulation</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3A8C7BE"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مصارف أفريقية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0D03B911" w14:textId="7781D519" w:rsidR="00D1463C" w:rsidRPr="006238C5" w:rsidRDefault="00D1463C" w:rsidP="00D1463C">
            <w:pPr>
              <w:bidi/>
              <w:spacing w:line="260" w:lineRule="auto"/>
              <w:jc w:val="center"/>
              <w:rPr>
                <w:rFonts w:ascii="Sakkal Majalla" w:hAnsi="Sakkal Majalla" w:cs="Sakkal Majalla"/>
                <w:sz w:val="28"/>
                <w:szCs w:val="28"/>
              </w:rPr>
            </w:pPr>
            <w:r w:rsidRPr="006F4BB0">
              <w:t>Contract-level panel</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2DF6A03"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مستويات تغطية تلغي أثر القوة السوقية</w:t>
            </w:r>
          </w:p>
        </w:tc>
      </w:tr>
      <w:tr w:rsidR="00D1463C" w:rsidRPr="006238C5" w14:paraId="4958C6EA"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0F0B286"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Dobbie et al. (2020)</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CFD7E11"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Finance</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3DA45A4"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الولايات المتحدة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07AE7AF9" w14:textId="084DAFF6" w:rsidR="00D1463C" w:rsidRPr="006238C5" w:rsidRDefault="00D1463C" w:rsidP="00D1463C">
            <w:pPr>
              <w:bidi/>
              <w:spacing w:line="260" w:lineRule="auto"/>
              <w:jc w:val="center"/>
              <w:rPr>
                <w:rFonts w:ascii="Sakkal Majalla" w:hAnsi="Sakkal Majalla" w:cs="Sakkal Majalla"/>
                <w:sz w:val="28"/>
                <w:szCs w:val="28"/>
              </w:rPr>
            </w:pPr>
            <w:r w:rsidRPr="006F4BB0">
              <w:t>Cross-sectional probit</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BB0667E"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الحذف يرفع الائتمان وأثره في العمل ضئيل</w:t>
            </w:r>
          </w:p>
        </w:tc>
      </w:tr>
      <w:tr w:rsidR="00D1463C" w:rsidRPr="006238C5" w14:paraId="7686FD1C"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DD3E25C"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Berg et al. (2020)</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49FDE14"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Review of Financial Studies</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4178C71"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ألمانيا</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0673A98A" w14:textId="46D7119E" w:rsidR="00D1463C" w:rsidRPr="006238C5" w:rsidRDefault="00D1463C" w:rsidP="00D1463C">
            <w:pPr>
              <w:bidi/>
              <w:spacing w:line="260" w:lineRule="auto"/>
              <w:jc w:val="center"/>
              <w:rPr>
                <w:rFonts w:ascii="Sakkal Majalla" w:hAnsi="Sakkal Majalla" w:cs="Sakkal Majalla"/>
                <w:sz w:val="28"/>
                <w:szCs w:val="28"/>
              </w:rPr>
            </w:pPr>
            <w:r w:rsidRPr="006F4BB0">
              <w:t>Difference-in-differences</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E3BC87C"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البصمة الرقمية تعادل درجة المكتب وتكملها</w:t>
            </w:r>
          </w:p>
        </w:tc>
      </w:tr>
      <w:tr w:rsidR="00D1463C" w:rsidRPr="006238C5" w14:paraId="4F7801CD"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3A900A0"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Fouejieu, Ndoye and Sydorenko (2020)</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589D1DD"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ورقة عمل صندوق النقد الدولي 20/55</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3450006"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عينة دولية واسعة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491EC005" w14:textId="77054E64" w:rsidR="00D1463C" w:rsidRPr="006238C5" w:rsidRDefault="00D1463C" w:rsidP="00D1463C">
            <w:pPr>
              <w:bidi/>
              <w:spacing w:line="260" w:lineRule="auto"/>
              <w:jc w:val="center"/>
              <w:rPr>
                <w:rFonts w:ascii="Sakkal Majalla" w:hAnsi="Sakkal Majalla" w:cs="Sakkal Majalla"/>
                <w:sz w:val="28"/>
                <w:szCs w:val="28"/>
              </w:rPr>
            </w:pPr>
            <w:r w:rsidRPr="006F4BB0">
              <w:t>Theoretical model (multiple lending)</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BB9517D"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المعلومات الائتمانية من محددات وصول المنشآت</w:t>
            </w:r>
          </w:p>
        </w:tc>
      </w:tr>
      <w:tr w:rsidR="00D1463C" w:rsidRPr="006238C5" w14:paraId="39259F71"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9E9E3B3"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Liberti, Sturgess and Sutherland (2022)</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CD115C8"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Journal of Financial Economics</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C3D65A2"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الولايات المتحدة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0A70D8BD" w14:textId="2BD898B4" w:rsidR="00D1463C" w:rsidRPr="006238C5" w:rsidRDefault="00D1463C" w:rsidP="00D1463C">
            <w:pPr>
              <w:bidi/>
              <w:spacing w:line="260" w:lineRule="auto"/>
              <w:jc w:val="center"/>
              <w:rPr>
                <w:rFonts w:ascii="Sakkal Majalla" w:hAnsi="Sakkal Majalla" w:cs="Sakkal Majalla"/>
                <w:sz w:val="28"/>
                <w:szCs w:val="28"/>
              </w:rPr>
            </w:pPr>
            <w:r w:rsidRPr="006F4BB0">
              <w:t>Difference-in-differences</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63778E5"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تحسّن الوصول للمقترضين الجيدين</w:t>
            </w:r>
          </w:p>
        </w:tc>
      </w:tr>
      <w:tr w:rsidR="00D1463C" w:rsidRPr="006238C5" w14:paraId="493F6ACE" w14:textId="77777777" w:rsidTr="00550E14">
        <w:tblPrEx>
          <w:tblCellMar>
            <w:top w:w="0" w:type="dxa"/>
            <w:bottom w:w="0" w:type="dxa"/>
          </w:tblCellMar>
        </w:tblPrEx>
        <w:tc>
          <w:tcPr>
            <w:tcW w:w="2704"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3627901"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Fosu, Agyei-Boapeah and Çiftçi (2023)</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3C91C18"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Financial Review</w:t>
            </w:r>
          </w:p>
        </w:tc>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5477A97"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28 دولة نامية</w:t>
            </w:r>
          </w:p>
        </w:tc>
        <w:tc>
          <w:tcPr>
            <w:tcW w:w="165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tcPr>
          <w:p w14:paraId="5236E3B2" w14:textId="1CCDE323" w:rsidR="00D1463C" w:rsidRPr="006238C5" w:rsidRDefault="00D1463C" w:rsidP="00D1463C">
            <w:pPr>
              <w:bidi/>
              <w:spacing w:line="260" w:lineRule="auto"/>
              <w:jc w:val="center"/>
              <w:rPr>
                <w:rFonts w:ascii="Sakkal Majalla" w:hAnsi="Sakkal Majalla" w:cs="Sakkal Majalla"/>
                <w:sz w:val="28"/>
                <w:szCs w:val="28"/>
              </w:rPr>
            </w:pPr>
            <w:r w:rsidRPr="006F4BB0">
              <w:t>Fuzzy regression discontinuity</w:t>
            </w:r>
          </w:p>
        </w:tc>
        <w:tc>
          <w:tcPr>
            <w:tcW w:w="2852"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ECA12C9" w14:textId="77777777" w:rsidR="00D1463C" w:rsidRPr="006238C5" w:rsidRDefault="00D1463C" w:rsidP="00D1463C">
            <w:pPr>
              <w:bidi/>
              <w:spacing w:line="260" w:lineRule="auto"/>
              <w:jc w:val="center"/>
              <w:rPr>
                <w:rFonts w:ascii="Sakkal Majalla" w:hAnsi="Sakkal Majalla" w:cs="Sakkal Majalla"/>
                <w:sz w:val="28"/>
                <w:szCs w:val="28"/>
              </w:rPr>
            </w:pPr>
            <w:r w:rsidRPr="006238C5">
              <w:rPr>
                <w:rFonts w:ascii="Sakkal Majalla" w:hAnsi="Sakkal Majalla" w:cs="Sakkal Majalla"/>
                <w:sz w:val="28"/>
                <w:szCs w:val="28"/>
                <w:rtl/>
              </w:rPr>
              <w:t>خفض كلفة الدين 3.2 إلى 3.8 نقطة</w:t>
            </w:r>
          </w:p>
        </w:tc>
      </w:tr>
    </w:tbl>
    <w:p w14:paraId="20F14D1C" w14:textId="77777777" w:rsidR="00820908" w:rsidRPr="006238C5" w:rsidRDefault="00000000" w:rsidP="006238C5">
      <w:pPr>
        <w:bidi/>
        <w:spacing w:after="200" w:line="340" w:lineRule="auto"/>
        <w:jc w:val="both"/>
        <w:rPr>
          <w:rFonts w:ascii="Sakkal Majalla" w:hAnsi="Sakkal Majalla" w:cs="Sakkal Majalla"/>
          <w:sz w:val="28"/>
          <w:szCs w:val="28"/>
        </w:rPr>
      </w:pPr>
      <w:r w:rsidRPr="006238C5">
        <w:rPr>
          <w:rFonts w:ascii="Sakkal Majalla" w:hAnsi="Sakkal Majalla" w:cs="Sakkal Majalla"/>
          <w:sz w:val="28"/>
          <w:szCs w:val="28"/>
          <w:rtl/>
        </w:rPr>
        <w:t>المصدر: إعداد الباحث من الدراسات المذكورة.</w:t>
      </w:r>
    </w:p>
    <w:p w14:paraId="6427F0B4" w14:textId="77777777" w:rsidR="00820908" w:rsidRPr="006238C5" w:rsidRDefault="00000000" w:rsidP="006238C5">
      <w:pPr>
        <w:pStyle w:val="Heading1"/>
        <w:keepNext/>
        <w:bidi/>
        <w:spacing w:before="240" w:after="120"/>
        <w:jc w:val="both"/>
        <w:rPr>
          <w:rFonts w:ascii="Sakkal Majalla" w:hAnsi="Sakkal Majalla" w:cs="Sakkal Majalla"/>
          <w:sz w:val="28"/>
          <w:szCs w:val="28"/>
        </w:rPr>
      </w:pPr>
      <w:r w:rsidRPr="006238C5">
        <w:rPr>
          <w:rFonts w:ascii="Sakkal Majalla" w:hAnsi="Sakkal Majalla" w:cs="Sakkal Majalla"/>
          <w:b/>
          <w:bCs/>
          <w:color w:val="000000"/>
          <w:sz w:val="28"/>
          <w:szCs w:val="28"/>
          <w:rtl/>
        </w:rPr>
        <w:lastRenderedPageBreak/>
        <w:t>المراجع</w:t>
      </w:r>
    </w:p>
    <w:p w14:paraId="6B4A18CF"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Asongu, Simplice A., Sara le Roux, and Vanessa S. Tchamyou. 2019. "Essential Information Sharing Thresholds for Reducing Market Power in Financial Access: A Study of the African Banking Industry." </w:t>
      </w:r>
      <w:r w:rsidRPr="006238C5">
        <w:rPr>
          <w:rFonts w:ascii="Sakkal Majalla" w:hAnsi="Sakkal Majalla" w:cs="Sakkal Majalla"/>
          <w:i/>
          <w:iCs/>
          <w:sz w:val="28"/>
          <w:szCs w:val="28"/>
        </w:rPr>
        <w:t>Journal of Banking Regulation</w:t>
      </w:r>
      <w:r w:rsidRPr="006238C5">
        <w:rPr>
          <w:rFonts w:ascii="Sakkal Majalla" w:hAnsi="Sakkal Majalla" w:cs="Sakkal Majalla"/>
          <w:sz w:val="28"/>
          <w:szCs w:val="28"/>
        </w:rPr>
        <w:t xml:space="preserve"> 20 (1): 34–50.</w:t>
      </w:r>
    </w:p>
    <w:p w14:paraId="14A69ADD"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Behr, Patrick, and Simon Sonnekalb. 2012. "The Effect of Information Sharing between Lenders on Access to Credit, Cost of Credit, and Loan Performance: Evidence from a Credit Registry Introduction." </w:t>
      </w:r>
      <w:r w:rsidRPr="006238C5">
        <w:rPr>
          <w:rFonts w:ascii="Sakkal Majalla" w:hAnsi="Sakkal Majalla" w:cs="Sakkal Majalla"/>
          <w:i/>
          <w:iCs/>
          <w:sz w:val="28"/>
          <w:szCs w:val="28"/>
        </w:rPr>
        <w:t>Journal of Banking and Finance</w:t>
      </w:r>
      <w:r w:rsidRPr="006238C5">
        <w:rPr>
          <w:rFonts w:ascii="Sakkal Majalla" w:hAnsi="Sakkal Majalla" w:cs="Sakkal Majalla"/>
          <w:sz w:val="28"/>
          <w:szCs w:val="28"/>
        </w:rPr>
        <w:t xml:space="preserve"> 36 (11): 3017–3032.</w:t>
      </w:r>
    </w:p>
    <w:p w14:paraId="568FC5DC"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Bennardo, Alberto, Marco Pagano, and Salvatore Piccolo. 2015. "Multiple Bank Lending, Creditor Rights, and Information Sharing." </w:t>
      </w:r>
      <w:r w:rsidRPr="006238C5">
        <w:rPr>
          <w:rFonts w:ascii="Sakkal Majalla" w:hAnsi="Sakkal Majalla" w:cs="Sakkal Majalla"/>
          <w:i/>
          <w:iCs/>
          <w:sz w:val="28"/>
          <w:szCs w:val="28"/>
        </w:rPr>
        <w:t>Review of Finance</w:t>
      </w:r>
      <w:r w:rsidRPr="006238C5">
        <w:rPr>
          <w:rFonts w:ascii="Sakkal Majalla" w:hAnsi="Sakkal Majalla" w:cs="Sakkal Majalla"/>
          <w:sz w:val="28"/>
          <w:szCs w:val="28"/>
        </w:rPr>
        <w:t xml:space="preserve"> 19 (2): 519–570.</w:t>
      </w:r>
    </w:p>
    <w:p w14:paraId="64A65DE3"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Berg, Tobias, Valentin Burg, Ana Gombović, and Manju Puri. 2020. "On the Rise of FinTechs: Credit Scoring Using Digital Footprints." </w:t>
      </w:r>
      <w:r w:rsidRPr="006238C5">
        <w:rPr>
          <w:rFonts w:ascii="Sakkal Majalla" w:hAnsi="Sakkal Majalla" w:cs="Sakkal Majalla"/>
          <w:i/>
          <w:iCs/>
          <w:sz w:val="28"/>
          <w:szCs w:val="28"/>
        </w:rPr>
        <w:t>Review of Financial Studies</w:t>
      </w:r>
      <w:r w:rsidRPr="006238C5">
        <w:rPr>
          <w:rFonts w:ascii="Sakkal Majalla" w:hAnsi="Sakkal Majalla" w:cs="Sakkal Majalla"/>
          <w:sz w:val="28"/>
          <w:szCs w:val="28"/>
        </w:rPr>
        <w:t xml:space="preserve"> 33 (7): 2845–2897.</w:t>
      </w:r>
    </w:p>
    <w:p w14:paraId="5D6CCCEB"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Bos, Marieke, Emily Breza, and Andres Liberman. 2018. "The Labor Market Effects of Credit Market Information." </w:t>
      </w:r>
      <w:r w:rsidRPr="006238C5">
        <w:rPr>
          <w:rFonts w:ascii="Sakkal Majalla" w:hAnsi="Sakkal Majalla" w:cs="Sakkal Majalla"/>
          <w:i/>
          <w:iCs/>
          <w:sz w:val="28"/>
          <w:szCs w:val="28"/>
        </w:rPr>
        <w:t>Review of Financial Studies</w:t>
      </w:r>
      <w:r w:rsidRPr="006238C5">
        <w:rPr>
          <w:rFonts w:ascii="Sakkal Majalla" w:hAnsi="Sakkal Majalla" w:cs="Sakkal Majalla"/>
          <w:sz w:val="28"/>
          <w:szCs w:val="28"/>
        </w:rPr>
        <w:t xml:space="preserve"> 31 (6): 2005–2037.</w:t>
      </w:r>
    </w:p>
    <w:p w14:paraId="31FE2C16"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Brown, Martin, Tullio Jappelli, and Marco Pagano. 2009. "Information Sharing and Credit: Firm-Level Evidence from Transition Countries." </w:t>
      </w:r>
      <w:r w:rsidRPr="006238C5">
        <w:rPr>
          <w:rFonts w:ascii="Sakkal Majalla" w:hAnsi="Sakkal Majalla" w:cs="Sakkal Majalla"/>
          <w:i/>
          <w:iCs/>
          <w:sz w:val="28"/>
          <w:szCs w:val="28"/>
        </w:rPr>
        <w:t>Journal of Financial Intermediation</w:t>
      </w:r>
      <w:r w:rsidRPr="006238C5">
        <w:rPr>
          <w:rFonts w:ascii="Sakkal Majalla" w:hAnsi="Sakkal Majalla" w:cs="Sakkal Majalla"/>
          <w:sz w:val="28"/>
          <w:szCs w:val="28"/>
        </w:rPr>
        <w:t xml:space="preserve"> 18 (2): 151–172.</w:t>
      </w:r>
    </w:p>
    <w:p w14:paraId="7EEE243A"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Callaway, Brantly, and Pedro H. C. Sant'Anna. 2021. "Difference-in-Differences with Multiple Time Periods." </w:t>
      </w:r>
      <w:r w:rsidRPr="006238C5">
        <w:rPr>
          <w:rFonts w:ascii="Sakkal Majalla" w:hAnsi="Sakkal Majalla" w:cs="Sakkal Majalla"/>
          <w:i/>
          <w:iCs/>
          <w:sz w:val="28"/>
          <w:szCs w:val="28"/>
        </w:rPr>
        <w:t>Journal of Econometrics</w:t>
      </w:r>
      <w:r w:rsidRPr="006238C5">
        <w:rPr>
          <w:rFonts w:ascii="Sakkal Majalla" w:hAnsi="Sakkal Majalla" w:cs="Sakkal Majalla"/>
          <w:sz w:val="28"/>
          <w:szCs w:val="28"/>
        </w:rPr>
        <w:t xml:space="preserve"> 225 (2): 200–230.</w:t>
      </w:r>
    </w:p>
    <w:p w14:paraId="10F0B5EA"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de Janvry, Alain, Craig McIntosh, and Elisabeth Sadoulet. 2010. "The Supply- and Demand-Side Impacts of Credit Market Information." </w:t>
      </w:r>
      <w:r w:rsidRPr="006238C5">
        <w:rPr>
          <w:rFonts w:ascii="Sakkal Majalla" w:hAnsi="Sakkal Majalla" w:cs="Sakkal Majalla"/>
          <w:i/>
          <w:iCs/>
          <w:sz w:val="28"/>
          <w:szCs w:val="28"/>
        </w:rPr>
        <w:t>Journal of Development Economics</w:t>
      </w:r>
      <w:r w:rsidRPr="006238C5">
        <w:rPr>
          <w:rFonts w:ascii="Sakkal Majalla" w:hAnsi="Sakkal Majalla" w:cs="Sakkal Majalla"/>
          <w:sz w:val="28"/>
          <w:szCs w:val="28"/>
        </w:rPr>
        <w:t xml:space="preserve"> 93 (2): 173–188.</w:t>
      </w:r>
    </w:p>
    <w:p w14:paraId="7D7F9AC2"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Djankov, Simeon, Caralee McLiesh, and Andrei Shleifer. 2007. "Private Credit in 129 Countries." </w:t>
      </w:r>
      <w:r w:rsidRPr="006238C5">
        <w:rPr>
          <w:rFonts w:ascii="Sakkal Majalla" w:hAnsi="Sakkal Majalla" w:cs="Sakkal Majalla"/>
          <w:i/>
          <w:iCs/>
          <w:sz w:val="28"/>
          <w:szCs w:val="28"/>
        </w:rPr>
        <w:t>Journal of Financial Economics</w:t>
      </w:r>
      <w:r w:rsidRPr="006238C5">
        <w:rPr>
          <w:rFonts w:ascii="Sakkal Majalla" w:hAnsi="Sakkal Majalla" w:cs="Sakkal Majalla"/>
          <w:sz w:val="28"/>
          <w:szCs w:val="28"/>
        </w:rPr>
        <w:t xml:space="preserve"> 84 (2): 299–329.</w:t>
      </w:r>
    </w:p>
    <w:p w14:paraId="236112FE"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Dobbie, Will, Paul Goldsmith-Pinkham, Neale Mahoney, and Jae Song. 2020. "Bad Credit, No Problem? Credit and Labor Market Consequences of Bad Credit Reports." </w:t>
      </w:r>
      <w:r w:rsidRPr="006238C5">
        <w:rPr>
          <w:rFonts w:ascii="Sakkal Majalla" w:hAnsi="Sakkal Majalla" w:cs="Sakkal Majalla"/>
          <w:i/>
          <w:iCs/>
          <w:sz w:val="28"/>
          <w:szCs w:val="28"/>
        </w:rPr>
        <w:t>Journal of Finance</w:t>
      </w:r>
      <w:r w:rsidRPr="006238C5">
        <w:rPr>
          <w:rFonts w:ascii="Sakkal Majalla" w:hAnsi="Sakkal Majalla" w:cs="Sakkal Majalla"/>
          <w:sz w:val="28"/>
          <w:szCs w:val="28"/>
        </w:rPr>
        <w:t xml:space="preserve"> 75 (5): 2377–2419.</w:t>
      </w:r>
    </w:p>
    <w:p w14:paraId="5E226054"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Doblas-Madrid, Antonio, and Raoul Minetti. 2013. "Sharing Information in the Credit Market: Contract-Level Evidence from U.S. Firms." </w:t>
      </w:r>
      <w:r w:rsidRPr="006238C5">
        <w:rPr>
          <w:rFonts w:ascii="Sakkal Majalla" w:hAnsi="Sakkal Majalla" w:cs="Sakkal Majalla"/>
          <w:i/>
          <w:iCs/>
          <w:sz w:val="28"/>
          <w:szCs w:val="28"/>
        </w:rPr>
        <w:t>Journal of Financial Economics</w:t>
      </w:r>
      <w:r w:rsidRPr="006238C5">
        <w:rPr>
          <w:rFonts w:ascii="Sakkal Majalla" w:hAnsi="Sakkal Majalla" w:cs="Sakkal Majalla"/>
          <w:sz w:val="28"/>
          <w:szCs w:val="28"/>
        </w:rPr>
        <w:t xml:space="preserve"> 109 (1): 198–223.</w:t>
      </w:r>
    </w:p>
    <w:p w14:paraId="67D67059"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lastRenderedPageBreak/>
        <w:t xml:space="preserve">Fosu, Samuel, Henry Agyei-Boapeah, and Neytullah Çiftçi. 2023. "Credit Information Sharing and Cost of Debt: Evidence from the Introduction of Credit Bureaus in Developing Countries." </w:t>
      </w:r>
      <w:r w:rsidRPr="006238C5">
        <w:rPr>
          <w:rFonts w:ascii="Sakkal Majalla" w:hAnsi="Sakkal Majalla" w:cs="Sakkal Majalla"/>
          <w:i/>
          <w:iCs/>
          <w:sz w:val="28"/>
          <w:szCs w:val="28"/>
        </w:rPr>
        <w:t>Financial Review</w:t>
      </w:r>
      <w:r w:rsidRPr="006238C5">
        <w:rPr>
          <w:rFonts w:ascii="Sakkal Majalla" w:hAnsi="Sakkal Majalla" w:cs="Sakkal Majalla"/>
          <w:sz w:val="28"/>
          <w:szCs w:val="28"/>
        </w:rPr>
        <w:t xml:space="preserve"> 58 (4): 783–810.</w:t>
      </w:r>
    </w:p>
    <w:p w14:paraId="28A0ED83"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Fouejieu, Armand P., Anta Ndoye, and Tetyana Sydorenko. 2020. "Unlocking Access to Finance for SMEs: A Cross-Country Analysis." IMF Working Paper 20/55. Washington, DC: International Monetary Fund.</w:t>
      </w:r>
    </w:p>
    <w:p w14:paraId="40C472A3"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Fuster, Andreas, Paul Goldsmith-Pinkham, Tarun Ramadorai, and Ansgar Walther. 2022. "Predictably Unequal? The Effects of Machine Learning on Credit Markets." </w:t>
      </w:r>
      <w:r w:rsidRPr="006238C5">
        <w:rPr>
          <w:rFonts w:ascii="Sakkal Majalla" w:hAnsi="Sakkal Majalla" w:cs="Sakkal Majalla"/>
          <w:i/>
          <w:iCs/>
          <w:sz w:val="28"/>
          <w:szCs w:val="28"/>
        </w:rPr>
        <w:t>Journal of Finance</w:t>
      </w:r>
      <w:r w:rsidRPr="006238C5">
        <w:rPr>
          <w:rFonts w:ascii="Sakkal Majalla" w:hAnsi="Sakkal Majalla" w:cs="Sakkal Majalla"/>
          <w:sz w:val="28"/>
          <w:szCs w:val="28"/>
        </w:rPr>
        <w:t xml:space="preserve"> 77 (1): 5–47.</w:t>
      </w:r>
    </w:p>
    <w:p w14:paraId="4B6EABF5"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lang w:val="it-CH"/>
        </w:rPr>
        <w:t xml:space="preserve">Giannetti, Mariassunta, José María Liberti, and Jason Sturgess. </w:t>
      </w:r>
      <w:r w:rsidRPr="006238C5">
        <w:rPr>
          <w:rFonts w:ascii="Sakkal Majalla" w:hAnsi="Sakkal Majalla" w:cs="Sakkal Majalla"/>
          <w:sz w:val="28"/>
          <w:szCs w:val="28"/>
        </w:rPr>
        <w:t xml:space="preserve">2017. "Information Sharing and Rating Manipulation." </w:t>
      </w:r>
      <w:r w:rsidRPr="006238C5">
        <w:rPr>
          <w:rFonts w:ascii="Sakkal Majalla" w:hAnsi="Sakkal Majalla" w:cs="Sakkal Majalla"/>
          <w:i/>
          <w:iCs/>
          <w:sz w:val="28"/>
          <w:szCs w:val="28"/>
        </w:rPr>
        <w:t>Review of Financial Studies</w:t>
      </w:r>
      <w:r w:rsidRPr="006238C5">
        <w:rPr>
          <w:rFonts w:ascii="Sakkal Majalla" w:hAnsi="Sakkal Majalla" w:cs="Sakkal Majalla"/>
          <w:sz w:val="28"/>
          <w:szCs w:val="28"/>
        </w:rPr>
        <w:t xml:space="preserve"> 30 (9): 3269–3304.</w:t>
      </w:r>
    </w:p>
    <w:p w14:paraId="6FC7C08D"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Hertzberg, Andrew, José María Liberti, and Daniel Paravisini. 2011. "Public Information and Coordination: Evidence from a Credit Registry Expansion." </w:t>
      </w:r>
      <w:r w:rsidRPr="006238C5">
        <w:rPr>
          <w:rFonts w:ascii="Sakkal Majalla" w:hAnsi="Sakkal Majalla" w:cs="Sakkal Majalla"/>
          <w:i/>
          <w:iCs/>
          <w:sz w:val="28"/>
          <w:szCs w:val="28"/>
        </w:rPr>
        <w:t>Journal of Finance</w:t>
      </w:r>
      <w:r w:rsidRPr="006238C5">
        <w:rPr>
          <w:rFonts w:ascii="Sakkal Majalla" w:hAnsi="Sakkal Majalla" w:cs="Sakkal Majalla"/>
          <w:sz w:val="28"/>
          <w:szCs w:val="28"/>
        </w:rPr>
        <w:t xml:space="preserve"> 66 (2): 379–412.</w:t>
      </w:r>
    </w:p>
    <w:p w14:paraId="5D32C64D"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International Finance Corporation and Arab Monetary Fund. 2015. Arab Credit Reporting Guide. Washington, DC: International Finance Corporation.</w:t>
      </w:r>
    </w:p>
    <w:p w14:paraId="7FEE5328"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Jappelli, Tullio, and Marco Pagano. 2002. "Information Sharing, Lending and Defaults: Cross-Country Evidence." </w:t>
      </w:r>
      <w:r w:rsidRPr="006238C5">
        <w:rPr>
          <w:rFonts w:ascii="Sakkal Majalla" w:hAnsi="Sakkal Majalla" w:cs="Sakkal Majalla"/>
          <w:i/>
          <w:iCs/>
          <w:sz w:val="28"/>
          <w:szCs w:val="28"/>
        </w:rPr>
        <w:t>Journal of Banking and Finance</w:t>
      </w:r>
      <w:r w:rsidRPr="006238C5">
        <w:rPr>
          <w:rFonts w:ascii="Sakkal Majalla" w:hAnsi="Sakkal Majalla" w:cs="Sakkal Majalla"/>
          <w:sz w:val="28"/>
          <w:szCs w:val="28"/>
        </w:rPr>
        <w:t xml:space="preserve"> 26 (10): 2017–2045.</w:t>
      </w:r>
    </w:p>
    <w:p w14:paraId="74F927E7"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Kallberg, Jarl G., and Gregory F. Udell. 2003. "The Value of Private Sector Business Credit Information Sharing: The US Case." </w:t>
      </w:r>
      <w:r w:rsidRPr="006238C5">
        <w:rPr>
          <w:rFonts w:ascii="Sakkal Majalla" w:hAnsi="Sakkal Majalla" w:cs="Sakkal Majalla"/>
          <w:i/>
          <w:iCs/>
          <w:sz w:val="28"/>
          <w:szCs w:val="28"/>
        </w:rPr>
        <w:t>Journal of Banking and Finance</w:t>
      </w:r>
      <w:r w:rsidRPr="006238C5">
        <w:rPr>
          <w:rFonts w:ascii="Sakkal Majalla" w:hAnsi="Sakkal Majalla" w:cs="Sakkal Majalla"/>
          <w:sz w:val="28"/>
          <w:szCs w:val="28"/>
        </w:rPr>
        <w:t xml:space="preserve"> 27 (3): 449–469.</w:t>
      </w:r>
    </w:p>
    <w:p w14:paraId="157CCB39"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Liberman, Andres. 2016. "The Value of a Good Credit Reputation: Evidence from Credit Card Renegotiations." </w:t>
      </w:r>
      <w:r w:rsidRPr="006238C5">
        <w:rPr>
          <w:rFonts w:ascii="Sakkal Majalla" w:hAnsi="Sakkal Majalla" w:cs="Sakkal Majalla"/>
          <w:i/>
          <w:iCs/>
          <w:sz w:val="28"/>
          <w:szCs w:val="28"/>
        </w:rPr>
        <w:t>Journal of Financial Economics</w:t>
      </w:r>
      <w:r w:rsidRPr="006238C5">
        <w:rPr>
          <w:rFonts w:ascii="Sakkal Majalla" w:hAnsi="Sakkal Majalla" w:cs="Sakkal Majalla"/>
          <w:sz w:val="28"/>
          <w:szCs w:val="28"/>
        </w:rPr>
        <w:t xml:space="preserve"> 120 (3): 644–660.</w:t>
      </w:r>
    </w:p>
    <w:p w14:paraId="6F8CF863"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Liberman, Andres, Christopher Neilson, Luis Opazo, and Seth Zimmerman. 2018. "The Equilibrium Effects of Information Deletion: Evidence from Consumer Credit Markets." NBER Working Paper 25097. Cambridge, MA: National Bureau of Economic Research.</w:t>
      </w:r>
    </w:p>
    <w:p w14:paraId="0E21CE07"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Liberti, José María, Amit Seru, and Vikrant Vig. 2015. "Information, Credit, and Organization." IMFS Working Paper 97. Frankfurt am Main: Institute for Monetary and Financial Stability, Goethe University.</w:t>
      </w:r>
    </w:p>
    <w:p w14:paraId="41E990EC"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Liberti, José María, Jason Sturgess, and Andrew Sutherland. 2022. "How Voluntary Information Sharing Systems Form: Evidence from a U.S. Commercial Credit Bureau." </w:t>
      </w:r>
      <w:r w:rsidRPr="006238C5">
        <w:rPr>
          <w:rFonts w:ascii="Sakkal Majalla" w:hAnsi="Sakkal Majalla" w:cs="Sakkal Majalla"/>
          <w:i/>
          <w:iCs/>
          <w:sz w:val="28"/>
          <w:szCs w:val="28"/>
        </w:rPr>
        <w:t>Journal of Financial Economics</w:t>
      </w:r>
      <w:r w:rsidRPr="006238C5">
        <w:rPr>
          <w:rFonts w:ascii="Sakkal Majalla" w:hAnsi="Sakkal Majalla" w:cs="Sakkal Majalla"/>
          <w:sz w:val="28"/>
          <w:szCs w:val="28"/>
        </w:rPr>
        <w:t xml:space="preserve"> 145 (3): 827–849.</w:t>
      </w:r>
    </w:p>
    <w:p w14:paraId="38699848"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lastRenderedPageBreak/>
        <w:t>Love, Inessa, and Nataliya Mylenko. 2003. "Credit Reporting and Financing Constraints." Policy Research Working Paper 3142. Washington, DC: World Bank.</w:t>
      </w:r>
    </w:p>
    <w:p w14:paraId="4603E73C"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Luoto, Jill, Craig McIntosh, and Bruce Wydick. 2007. "Credit Information Systems in Less Developed Countries: A Test with Microfinance in Guatemala." </w:t>
      </w:r>
      <w:r w:rsidRPr="006238C5">
        <w:rPr>
          <w:rFonts w:ascii="Sakkal Majalla" w:hAnsi="Sakkal Majalla" w:cs="Sakkal Majalla"/>
          <w:i/>
          <w:iCs/>
          <w:sz w:val="28"/>
          <w:szCs w:val="28"/>
        </w:rPr>
        <w:t>Economic Development and Cultural Change</w:t>
      </w:r>
      <w:r w:rsidRPr="006238C5">
        <w:rPr>
          <w:rFonts w:ascii="Sakkal Majalla" w:hAnsi="Sakkal Majalla" w:cs="Sakkal Majalla"/>
          <w:sz w:val="28"/>
          <w:szCs w:val="28"/>
        </w:rPr>
        <w:t xml:space="preserve"> 55 (2): 313–334.</w:t>
      </w:r>
    </w:p>
    <w:p w14:paraId="1ECAC3E9"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Martínez Pería, María Soledad, and Sandeep Singh. 2014. "The Impact of Credit Information Sharing Reforms on Firm Financing." Policy Research Working Paper 7013. Washington, DC: World Bank.</w:t>
      </w:r>
    </w:p>
    <w:p w14:paraId="63CA96B0"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Oxford Business Group. 2012. "Onwards and Upwards: The Rapid Growth Seen in Recent Years Looks Set to Continue." In The Report: Qatar 2012. London: Oxford Business Group.</w:t>
      </w:r>
    </w:p>
    <w:p w14:paraId="6E03BDFE"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Padilla, A. Jorge, and Marco Pagano. 1997. "Endogenous Communication among Lenders and Entrepreneurial Incentives." </w:t>
      </w:r>
      <w:r w:rsidRPr="006238C5">
        <w:rPr>
          <w:rFonts w:ascii="Sakkal Majalla" w:hAnsi="Sakkal Majalla" w:cs="Sakkal Majalla"/>
          <w:i/>
          <w:iCs/>
          <w:sz w:val="28"/>
          <w:szCs w:val="28"/>
        </w:rPr>
        <w:t>Review of Financial Studies</w:t>
      </w:r>
      <w:r w:rsidRPr="006238C5">
        <w:rPr>
          <w:rFonts w:ascii="Sakkal Majalla" w:hAnsi="Sakkal Majalla" w:cs="Sakkal Majalla"/>
          <w:sz w:val="28"/>
          <w:szCs w:val="28"/>
        </w:rPr>
        <w:t xml:space="preserve"> 10 (1): 205–236.</w:t>
      </w:r>
    </w:p>
    <w:p w14:paraId="209CB43C"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Padilla, A. Jorge, and Marco Pagano. 2000. "Sharing Default Information as a Borrower Discipline Device." </w:t>
      </w:r>
      <w:r w:rsidRPr="006238C5">
        <w:rPr>
          <w:rFonts w:ascii="Sakkal Majalla" w:hAnsi="Sakkal Majalla" w:cs="Sakkal Majalla"/>
          <w:i/>
          <w:iCs/>
          <w:sz w:val="28"/>
          <w:szCs w:val="28"/>
        </w:rPr>
        <w:t>European Economic Review</w:t>
      </w:r>
      <w:r w:rsidRPr="006238C5">
        <w:rPr>
          <w:rFonts w:ascii="Sakkal Majalla" w:hAnsi="Sakkal Majalla" w:cs="Sakkal Majalla"/>
          <w:sz w:val="28"/>
          <w:szCs w:val="28"/>
        </w:rPr>
        <w:t xml:space="preserve"> 44 (10): 1951–1980.</w:t>
      </w:r>
    </w:p>
    <w:p w14:paraId="36BB181F"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Pagano, Marco, and Tullio Jappelli. 1993. "Information Sharing in Credit Markets." </w:t>
      </w:r>
      <w:r w:rsidRPr="006238C5">
        <w:rPr>
          <w:rFonts w:ascii="Sakkal Majalla" w:hAnsi="Sakkal Majalla" w:cs="Sakkal Majalla"/>
          <w:i/>
          <w:iCs/>
          <w:sz w:val="28"/>
          <w:szCs w:val="28"/>
        </w:rPr>
        <w:t>Journal of Finance</w:t>
      </w:r>
      <w:r w:rsidRPr="006238C5">
        <w:rPr>
          <w:rFonts w:ascii="Sakkal Majalla" w:hAnsi="Sakkal Majalla" w:cs="Sakkal Majalla"/>
          <w:sz w:val="28"/>
          <w:szCs w:val="28"/>
        </w:rPr>
        <w:t xml:space="preserve"> 48 (5): 1693–1718.</w:t>
      </w:r>
    </w:p>
    <w:p w14:paraId="42992B30"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Qatar News Agency. 2021. "Qatar Credit Bureau, Qatar Financial Centre Sign MoU." October 27, 2021.</w:t>
      </w:r>
    </w:p>
    <w:p w14:paraId="091AA6AF"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Rocha, Roberto, Subika Farazi, Rania Khouri, and Douglas Pearce. 2011. "The Status of Bank Lending to SMEs in the Middle East and North Africa Region: Results of a Joint Survey of the Union of Arab Banks and the World Bank." Policy Research Working Paper 5607. Washington, DC: World Bank.</w:t>
      </w:r>
    </w:p>
    <w:p w14:paraId="5E793DAC"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Saadani, Youssef, Zsofia Arvai, and Roberto Rocha. 2011. "A Review of Credit Guarantee Schemes in the Middle East and North Africa Region." Policy Research Working Paper 5612. Washington, DC: World Bank.</w:t>
      </w:r>
    </w:p>
    <w:p w14:paraId="6C3FCEDE"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Sun, Liyang, and Sarah Abraham. 2021. "Estimating Dynamic Treatment Effects in Event Studies with Heterogeneous Treatment Effects." </w:t>
      </w:r>
      <w:r w:rsidRPr="006238C5">
        <w:rPr>
          <w:rFonts w:ascii="Sakkal Majalla" w:hAnsi="Sakkal Majalla" w:cs="Sakkal Majalla"/>
          <w:i/>
          <w:iCs/>
          <w:sz w:val="28"/>
          <w:szCs w:val="28"/>
        </w:rPr>
        <w:t>Journal of Econometrics</w:t>
      </w:r>
      <w:r w:rsidRPr="006238C5">
        <w:rPr>
          <w:rFonts w:ascii="Sakkal Majalla" w:hAnsi="Sakkal Majalla" w:cs="Sakkal Majalla"/>
          <w:sz w:val="28"/>
          <w:szCs w:val="28"/>
        </w:rPr>
        <w:t xml:space="preserve"> 225 (2): 175–199.</w:t>
      </w:r>
    </w:p>
    <w:p w14:paraId="66EFFD41"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Sutherland, Andrew. 2018. "Does Credit Reporting Lead to a Decline in Relationship Lending? Evidence from Information Sharing Technology." </w:t>
      </w:r>
      <w:r w:rsidRPr="006238C5">
        <w:rPr>
          <w:rFonts w:ascii="Sakkal Majalla" w:hAnsi="Sakkal Majalla" w:cs="Sakkal Majalla"/>
          <w:i/>
          <w:iCs/>
          <w:sz w:val="28"/>
          <w:szCs w:val="28"/>
        </w:rPr>
        <w:t>Journal of Accounting and Economics</w:t>
      </w:r>
      <w:r w:rsidRPr="006238C5">
        <w:rPr>
          <w:rFonts w:ascii="Sakkal Majalla" w:hAnsi="Sakkal Majalla" w:cs="Sakkal Majalla"/>
          <w:sz w:val="28"/>
          <w:szCs w:val="28"/>
        </w:rPr>
        <w:t xml:space="preserve"> 66 (1): 123–141.</w:t>
      </w:r>
    </w:p>
    <w:p w14:paraId="1FD381F4"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The Peninsula. 2017. "QCB Plans Strategic Expansion of Qatar Credit Bureau." September 10, 2017.</w:t>
      </w:r>
    </w:p>
    <w:p w14:paraId="102D313B"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t xml:space="preserve">Triki, Thouraya, and Ousman Gajigo. 2014. "Credit Bureaus and Registries and Access to Finance: New Evidence from 42 African Countries." </w:t>
      </w:r>
      <w:r w:rsidRPr="006238C5">
        <w:rPr>
          <w:rFonts w:ascii="Sakkal Majalla" w:hAnsi="Sakkal Majalla" w:cs="Sakkal Majalla"/>
          <w:i/>
          <w:iCs/>
          <w:sz w:val="28"/>
          <w:szCs w:val="28"/>
        </w:rPr>
        <w:t>Journal of African Development</w:t>
      </w:r>
      <w:r w:rsidRPr="006238C5">
        <w:rPr>
          <w:rFonts w:ascii="Sakkal Majalla" w:hAnsi="Sakkal Majalla" w:cs="Sakkal Majalla"/>
          <w:sz w:val="28"/>
          <w:szCs w:val="28"/>
        </w:rPr>
        <w:t xml:space="preserve"> 16 (2): 73–101.</w:t>
      </w:r>
    </w:p>
    <w:p w14:paraId="30C651C4" w14:textId="77777777" w:rsidR="00820908" w:rsidRPr="006238C5" w:rsidRDefault="00000000" w:rsidP="006238C5">
      <w:pPr>
        <w:spacing w:after="100" w:line="300" w:lineRule="auto"/>
        <w:ind w:left="567" w:hanging="567"/>
        <w:jc w:val="both"/>
        <w:rPr>
          <w:rFonts w:ascii="Sakkal Majalla" w:hAnsi="Sakkal Majalla" w:cs="Sakkal Majalla"/>
          <w:sz w:val="28"/>
          <w:szCs w:val="28"/>
        </w:rPr>
      </w:pPr>
      <w:r w:rsidRPr="006238C5">
        <w:rPr>
          <w:rFonts w:ascii="Sakkal Majalla" w:hAnsi="Sakkal Majalla" w:cs="Sakkal Majalla"/>
          <w:sz w:val="28"/>
          <w:szCs w:val="28"/>
        </w:rPr>
        <w:lastRenderedPageBreak/>
        <w:t>U.S. Department of State. 2024. 2024 Investment Climate Statements: Qatar. Washington, DC: U.S. Department of State.</w:t>
      </w:r>
    </w:p>
    <w:sectPr w:rsidR="00820908" w:rsidRPr="006238C5">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1F4D3" w14:textId="77777777" w:rsidR="006D61B3" w:rsidRDefault="006D61B3">
      <w:r>
        <w:separator/>
      </w:r>
    </w:p>
  </w:endnote>
  <w:endnote w:type="continuationSeparator" w:id="0">
    <w:p w14:paraId="4B66537E" w14:textId="77777777" w:rsidR="006D61B3" w:rsidRDefault="006D6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sail">
    <w:panose1 w:val="00000000000000000000"/>
    <w:charset w:val="00"/>
    <w:family w:val="modern"/>
    <w:notTrueType/>
    <w:pitch w:val="variable"/>
    <w:sig w:usb0="A00020FF" w:usb1="C000204A" w:usb2="00000000" w:usb3="00000000" w:csb0="000000D3"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77A45" w14:textId="77777777" w:rsidR="00820908" w:rsidRDefault="00000000">
    <w:pPr>
      <w:jc w:val="center"/>
    </w:pPr>
    <w:r>
      <w:rPr>
        <w:sz w:val="20"/>
        <w:szCs w:val="20"/>
      </w:rPr>
      <w:fldChar w:fldCharType="begin"/>
    </w:r>
    <w:r>
      <w:rPr>
        <w:sz w:val="20"/>
        <w:szCs w:val="20"/>
      </w:rPr>
      <w:instrText>PAGE</w:instrText>
    </w:r>
    <w:r>
      <w:rPr>
        <w:sz w:val="20"/>
        <w:szCs w:val="20"/>
      </w:rPr>
      <w:fldChar w:fldCharType="separate"/>
    </w:r>
    <w:r w:rsidR="006238C5">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C1DE1" w14:textId="77777777" w:rsidR="006D61B3" w:rsidRDefault="006D61B3">
      <w:r>
        <w:separator/>
      </w:r>
    </w:p>
  </w:footnote>
  <w:footnote w:type="continuationSeparator" w:id="0">
    <w:p w14:paraId="4B5825DB" w14:textId="77777777" w:rsidR="006D61B3" w:rsidRDefault="006D61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0672D"/>
    <w:multiLevelType w:val="hybridMultilevel"/>
    <w:tmpl w:val="E95C1B2A"/>
    <w:lvl w:ilvl="0" w:tplc="9E5CD06E" w:tentative="1">
      <w:start w:val="1"/>
      <w:numFmt w:val="bullet"/>
      <w:lvlText w:val="●"/>
      <w:lvlJc w:val="left"/>
      <w:pPr>
        <w:ind w:left="720" w:hanging="360"/>
      </w:pPr>
    </w:lvl>
    <w:lvl w:ilvl="1" w:tplc="84DA328A" w:tentative="1">
      <w:start w:val="1"/>
      <w:numFmt w:val="bullet"/>
      <w:lvlText w:val="○"/>
      <w:lvlJc w:val="left"/>
      <w:pPr>
        <w:ind w:left="1440" w:hanging="360"/>
      </w:pPr>
    </w:lvl>
    <w:lvl w:ilvl="2" w:tplc="4656D1E2" w:tentative="1">
      <w:start w:val="1"/>
      <w:numFmt w:val="bullet"/>
      <w:lvlText w:val="■"/>
      <w:lvlJc w:val="left"/>
      <w:pPr>
        <w:ind w:left="2160" w:hanging="360"/>
      </w:pPr>
    </w:lvl>
    <w:lvl w:ilvl="3" w:tplc="52CCECCE" w:tentative="1">
      <w:start w:val="1"/>
      <w:numFmt w:val="bullet"/>
      <w:lvlText w:val="●"/>
      <w:lvlJc w:val="left"/>
      <w:pPr>
        <w:ind w:left="2880" w:hanging="360"/>
      </w:pPr>
    </w:lvl>
    <w:lvl w:ilvl="4" w:tplc="464A1786" w:tentative="1">
      <w:start w:val="1"/>
      <w:numFmt w:val="bullet"/>
      <w:lvlText w:val="○"/>
      <w:lvlJc w:val="left"/>
      <w:pPr>
        <w:ind w:left="3600" w:hanging="360"/>
      </w:pPr>
    </w:lvl>
    <w:lvl w:ilvl="5" w:tplc="C11258D4" w:tentative="1">
      <w:start w:val="1"/>
      <w:numFmt w:val="bullet"/>
      <w:lvlText w:val="■"/>
      <w:lvlJc w:val="left"/>
      <w:pPr>
        <w:ind w:left="4320" w:hanging="360"/>
      </w:pPr>
    </w:lvl>
    <w:lvl w:ilvl="6" w:tplc="3D22B4CC" w:tentative="1">
      <w:start w:val="1"/>
      <w:numFmt w:val="bullet"/>
      <w:lvlText w:val="●"/>
      <w:lvlJc w:val="left"/>
      <w:pPr>
        <w:ind w:left="5040" w:hanging="360"/>
      </w:pPr>
    </w:lvl>
    <w:lvl w:ilvl="7" w:tplc="7B16969A" w:tentative="1">
      <w:start w:val="1"/>
      <w:numFmt w:val="bullet"/>
      <w:lvlText w:val="●"/>
      <w:lvlJc w:val="left"/>
      <w:pPr>
        <w:ind w:left="5760" w:hanging="360"/>
      </w:pPr>
    </w:lvl>
    <w:lvl w:ilvl="8" w:tplc="2C365D16" w:tentative="1">
      <w:start w:val="1"/>
      <w:numFmt w:val="bullet"/>
      <w:lvlText w:val="●"/>
      <w:lvlJc w:val="left"/>
      <w:pPr>
        <w:ind w:left="6480" w:hanging="360"/>
      </w:pPr>
    </w:lvl>
  </w:abstractNum>
  <w:num w:numId="1" w16cid:durableId="18169464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908"/>
    <w:rsid w:val="00241C67"/>
    <w:rsid w:val="006238C5"/>
    <w:rsid w:val="006327D5"/>
    <w:rsid w:val="006D61B3"/>
    <w:rsid w:val="00820908"/>
    <w:rsid w:val="00CC4EF0"/>
    <w:rsid w:val="00D1463C"/>
    <w:rsid w:val="00D703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4C24C"/>
  <w15:docId w15:val="{86D3806C-0B26-443F-ACCE-6CD1DDD7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sail" w:eastAsia="Lusail" w:hAnsi="Lusail" w:cs="Lusail"/>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5542</Words>
  <Characters>31592</Characters>
  <Application>Microsoft Office Word</Application>
  <DocSecurity>0</DocSecurity>
  <Lines>263</Lines>
  <Paragraphs>74</Paragraphs>
  <ScaleCrop>false</ScaleCrop>
  <Company/>
  <LinksUpToDate>false</LinksUpToDate>
  <CharactersWithSpaces>37060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Salaheldean Elegla</cp:lastModifiedBy>
  <cp:revision>6</cp:revision>
  <dcterms:created xsi:type="dcterms:W3CDTF">2026-11-01T09:38:00Z</dcterms:created>
  <dcterms:modified xsi:type="dcterms:W3CDTF">2026-11-01T09:45:00Z</dcterms:modified>
</cp:coreProperties>
</file>